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E165" w14:textId="6096E572" w:rsidR="002D385E" w:rsidRPr="00ED7067" w:rsidRDefault="002D385E" w:rsidP="5D78B5C8">
      <w:pPr>
        <w:pStyle w:val="Heading1"/>
        <w:numPr>
          <w:ilvl w:val="0"/>
          <w:numId w:val="0"/>
        </w:numPr>
        <w:spacing w:line="276" w:lineRule="auto"/>
        <w:ind w:left="432"/>
        <w:rPr>
          <w:rFonts w:asciiTheme="minorHAnsi" w:eastAsiaTheme="minorEastAsia" w:hAnsiTheme="minorHAnsi" w:cstheme="minorBidi"/>
          <w:sz w:val="20"/>
          <w:szCs w:val="20"/>
        </w:rPr>
      </w:pPr>
      <w:r w:rsidRPr="5D78B5C8">
        <w:rPr>
          <w:rStyle w:val="Heading1Char"/>
        </w:rPr>
        <w:t xml:space="preserve">10 </w:t>
      </w:r>
      <w:r w:rsidR="71096140" w:rsidRPr="5D78B5C8">
        <w:rPr>
          <w:rStyle w:val="Heading1Char"/>
        </w:rPr>
        <w:t>K</w:t>
      </w:r>
      <w:r w:rsidRPr="5D78B5C8">
        <w:rPr>
          <w:rStyle w:val="Heading1Char"/>
        </w:rPr>
        <w:t xml:space="preserve">ey </w:t>
      </w:r>
      <w:r w:rsidR="00BF77DE" w:rsidRPr="5D78B5C8">
        <w:rPr>
          <w:rStyle w:val="Heading1Char"/>
        </w:rPr>
        <w:t>Asks</w:t>
      </w:r>
      <w:r w:rsidRPr="5D78B5C8">
        <w:rPr>
          <w:rStyle w:val="Heading1Char"/>
        </w:rPr>
        <w:t xml:space="preserve"> </w:t>
      </w:r>
      <w:r w:rsidR="008F4C88" w:rsidRPr="5D78B5C8">
        <w:rPr>
          <w:rStyle w:val="Heading1Char"/>
        </w:rPr>
        <w:t>for inclusive mobility aid regulations</w:t>
      </w:r>
      <w:r w:rsidRPr="5D78B5C8">
        <w:rPr>
          <w:rStyle w:val="Heading1Char"/>
        </w:rPr>
        <w:t xml:space="preserve"> </w:t>
      </w:r>
      <w:r>
        <w:br/>
      </w:r>
      <w:r w:rsidRPr="5D78B5C8">
        <w:rPr>
          <w:rStyle w:val="Heading1Char"/>
          <w:sz w:val="28"/>
          <w:szCs w:val="28"/>
        </w:rPr>
        <w:t xml:space="preserve">- response to the government consultation on </w:t>
      </w:r>
      <w:r w:rsidR="00450B7A" w:rsidRPr="5D78B5C8">
        <w:rPr>
          <w:rStyle w:val="Heading1Char"/>
          <w:sz w:val="28"/>
          <w:szCs w:val="28"/>
        </w:rPr>
        <w:t>“P</w:t>
      </w:r>
      <w:r w:rsidRPr="5D78B5C8">
        <w:rPr>
          <w:rStyle w:val="Heading1Char"/>
          <w:sz w:val="28"/>
          <w:szCs w:val="28"/>
        </w:rPr>
        <w:t xml:space="preserve">owered </w:t>
      </w:r>
      <w:r w:rsidR="00450B7A" w:rsidRPr="5D78B5C8">
        <w:rPr>
          <w:rStyle w:val="Heading1Char"/>
          <w:sz w:val="28"/>
          <w:szCs w:val="28"/>
        </w:rPr>
        <w:t>M</w:t>
      </w:r>
      <w:r w:rsidRPr="5D78B5C8">
        <w:rPr>
          <w:rStyle w:val="Heading1Char"/>
          <w:sz w:val="28"/>
          <w:szCs w:val="28"/>
        </w:rPr>
        <w:t xml:space="preserve">obility </w:t>
      </w:r>
      <w:r w:rsidR="00450B7A" w:rsidRPr="5D78B5C8">
        <w:rPr>
          <w:rStyle w:val="Heading1Char"/>
          <w:sz w:val="28"/>
          <w:szCs w:val="28"/>
        </w:rPr>
        <w:t>A</w:t>
      </w:r>
      <w:r w:rsidRPr="5D78B5C8">
        <w:rPr>
          <w:rStyle w:val="Heading1Char"/>
          <w:sz w:val="28"/>
          <w:szCs w:val="28"/>
        </w:rPr>
        <w:t>ids</w:t>
      </w:r>
    </w:p>
    <w:p w14:paraId="6F2D4ACB" w14:textId="61DE6010" w:rsidR="008C170D" w:rsidRDefault="008C170D" w:rsidP="008C170D">
      <w:pPr>
        <w:spacing w:line="276" w:lineRule="auto"/>
        <w:rPr>
          <w:rFonts w:eastAsiaTheme="minorEastAsia"/>
          <w:szCs w:val="24"/>
        </w:rPr>
      </w:pPr>
      <w:r>
        <w:rPr>
          <w:rFonts w:eastAsiaTheme="minorEastAsia"/>
          <w:szCs w:val="24"/>
        </w:rPr>
        <w:t xml:space="preserve">The UK government </w:t>
      </w:r>
      <w:r w:rsidR="00EA78A0">
        <w:rPr>
          <w:rFonts w:eastAsiaTheme="minorEastAsia"/>
          <w:szCs w:val="24"/>
        </w:rPr>
        <w:t>are consulting on changing the laws affecting use of</w:t>
      </w:r>
      <w:r w:rsidRPr="262685A1">
        <w:rPr>
          <w:rFonts w:eastAsiaTheme="minorEastAsia"/>
          <w:szCs w:val="24"/>
        </w:rPr>
        <w:t xml:space="preserve"> “Powered Mobility Aids”</w:t>
      </w:r>
      <w:r w:rsidR="00097C85">
        <w:rPr>
          <w:rFonts w:eastAsiaTheme="minorEastAsia"/>
          <w:szCs w:val="24"/>
        </w:rPr>
        <w:t xml:space="preserve"> from January to April 2026</w:t>
      </w:r>
      <w:r w:rsidRPr="262685A1">
        <w:rPr>
          <w:rFonts w:eastAsiaTheme="minorEastAsia"/>
          <w:szCs w:val="24"/>
        </w:rPr>
        <w:t xml:space="preserve">. </w:t>
      </w:r>
    </w:p>
    <w:p w14:paraId="4EB4B7CE" w14:textId="76D5DC6A" w:rsidR="00EA78A0" w:rsidRPr="00D15B83" w:rsidRDefault="00EA78A0" w:rsidP="5D78B5C8">
      <w:pPr>
        <w:spacing w:line="276" w:lineRule="auto"/>
        <w:rPr>
          <w:rFonts w:eastAsiaTheme="minorEastAsia"/>
        </w:rPr>
      </w:pPr>
      <w:r w:rsidRPr="5D78B5C8">
        <w:rPr>
          <w:rFonts w:eastAsiaTheme="minorEastAsia"/>
        </w:rPr>
        <w:t xml:space="preserve">Wheels for Wellbeing have developed these key </w:t>
      </w:r>
      <w:r w:rsidR="2034302C" w:rsidRPr="5D78B5C8">
        <w:rPr>
          <w:rFonts w:eastAsiaTheme="minorEastAsia"/>
        </w:rPr>
        <w:t>principles</w:t>
      </w:r>
      <w:r w:rsidR="00D53716" w:rsidRPr="5D78B5C8">
        <w:rPr>
          <w:rFonts w:eastAsiaTheme="minorEastAsia"/>
        </w:rPr>
        <w:t xml:space="preserve"> through three years of intensive consultation with other Disabled People’s Organisations</w:t>
      </w:r>
      <w:r w:rsidR="000E3628" w:rsidRPr="5D78B5C8">
        <w:rPr>
          <w:rFonts w:eastAsiaTheme="minorEastAsia"/>
        </w:rPr>
        <w:t xml:space="preserve">, </w:t>
      </w:r>
      <w:r w:rsidR="00D53716" w:rsidRPr="5D78B5C8">
        <w:rPr>
          <w:rFonts w:eastAsiaTheme="minorEastAsia"/>
        </w:rPr>
        <w:t>disability charities</w:t>
      </w:r>
      <w:r w:rsidR="000E3628" w:rsidRPr="5D78B5C8">
        <w:rPr>
          <w:rFonts w:eastAsiaTheme="minorEastAsia"/>
        </w:rPr>
        <w:t xml:space="preserve"> and Disabled individuals, using a pan-impairment approach working towards consensus</w:t>
      </w:r>
      <w:r w:rsidR="00594D99" w:rsidRPr="5D78B5C8">
        <w:rPr>
          <w:rFonts w:eastAsiaTheme="minorEastAsia"/>
        </w:rPr>
        <w:t xml:space="preserve"> on </w:t>
      </w:r>
      <w:r w:rsidR="64F0D51D" w:rsidRPr="5D78B5C8">
        <w:rPr>
          <w:rFonts w:eastAsiaTheme="minorEastAsia"/>
        </w:rPr>
        <w:t xml:space="preserve">Disabled people’s right to </w:t>
      </w:r>
      <w:r w:rsidR="00594D99" w:rsidRPr="5D78B5C8">
        <w:rPr>
          <w:rFonts w:eastAsiaTheme="minorEastAsia"/>
        </w:rPr>
        <w:t>mobility</w:t>
      </w:r>
      <w:r w:rsidR="16C5EA17" w:rsidRPr="5D78B5C8">
        <w:rPr>
          <w:rFonts w:eastAsiaTheme="minorEastAsia"/>
        </w:rPr>
        <w:t>.</w:t>
      </w:r>
    </w:p>
    <w:p w14:paraId="58679DCE" w14:textId="3F82882F" w:rsidR="002D385E" w:rsidRDefault="00594D99" w:rsidP="5D78B5C8">
      <w:pPr>
        <w:spacing w:line="276" w:lineRule="auto"/>
        <w:rPr>
          <w:rFonts w:eastAsiaTheme="minorEastAsia"/>
        </w:rPr>
      </w:pPr>
      <w:r w:rsidRPr="5D78B5C8">
        <w:rPr>
          <w:rFonts w:eastAsiaTheme="minorEastAsia"/>
        </w:rPr>
        <w:t xml:space="preserve">The underlying principles gained from </w:t>
      </w:r>
      <w:r w:rsidR="00D16C54" w:rsidRPr="5D78B5C8">
        <w:rPr>
          <w:rFonts w:eastAsiaTheme="minorEastAsia"/>
        </w:rPr>
        <w:t>this collaborative work</w:t>
      </w:r>
      <w:r w:rsidRPr="5D78B5C8">
        <w:rPr>
          <w:rFonts w:eastAsiaTheme="minorEastAsia"/>
        </w:rPr>
        <w:t xml:space="preserve"> have been applied to the </w:t>
      </w:r>
      <w:r w:rsidR="00097C85" w:rsidRPr="5D78B5C8">
        <w:rPr>
          <w:rFonts w:eastAsiaTheme="minorEastAsia"/>
        </w:rPr>
        <w:t xml:space="preserve">contents of the </w:t>
      </w:r>
      <w:r w:rsidRPr="5D78B5C8">
        <w:rPr>
          <w:rFonts w:eastAsiaTheme="minorEastAsia"/>
        </w:rPr>
        <w:t xml:space="preserve">government </w:t>
      </w:r>
      <w:r w:rsidR="00097C85" w:rsidRPr="5D78B5C8">
        <w:rPr>
          <w:rFonts w:eastAsiaTheme="minorEastAsia"/>
        </w:rPr>
        <w:t>“Powered Mobility Aids” consultation</w:t>
      </w:r>
      <w:r w:rsidR="00D16C54" w:rsidRPr="5D78B5C8">
        <w:rPr>
          <w:rFonts w:eastAsiaTheme="minorEastAsia"/>
        </w:rPr>
        <w:t xml:space="preserve"> to develop these 10 </w:t>
      </w:r>
      <w:r w:rsidR="65050E2D" w:rsidRPr="5D78B5C8">
        <w:rPr>
          <w:rFonts w:eastAsiaTheme="minorEastAsia"/>
        </w:rPr>
        <w:t xml:space="preserve">essential principles for new regulations. </w:t>
      </w:r>
    </w:p>
    <w:p w14:paraId="05F1951D" w14:textId="59607022" w:rsidR="002D385E" w:rsidRPr="00D15B83" w:rsidRDefault="002D385E" w:rsidP="002D385E">
      <w:pPr>
        <w:pStyle w:val="Heading2"/>
        <w:rPr>
          <w:rFonts w:eastAsiaTheme="minorEastAsia" w:cstheme="minorBidi"/>
          <w:sz w:val="24"/>
          <w:szCs w:val="24"/>
        </w:rPr>
      </w:pPr>
      <w:r>
        <w:t xml:space="preserve">Key </w:t>
      </w:r>
      <w:r w:rsidR="008F4C88">
        <w:t>Asks</w:t>
      </w:r>
      <w:r>
        <w:t>:</w:t>
      </w:r>
    </w:p>
    <w:p w14:paraId="1FF2303C" w14:textId="221401A6" w:rsidR="002D385E" w:rsidRPr="00D15B83" w:rsidRDefault="002D385E" w:rsidP="5D78B5C8">
      <w:pPr>
        <w:pStyle w:val="ListParagraph"/>
        <w:numPr>
          <w:ilvl w:val="0"/>
          <w:numId w:val="26"/>
        </w:numPr>
        <w:spacing w:before="240" w:after="120" w:line="276" w:lineRule="auto"/>
        <w:contextualSpacing/>
        <w:rPr>
          <w:rFonts w:eastAsiaTheme="minorEastAsia"/>
        </w:rPr>
      </w:pPr>
      <w:r w:rsidRPr="5D78B5C8">
        <w:rPr>
          <w:rFonts w:eastAsiaTheme="minorEastAsia"/>
        </w:rPr>
        <w:t>Regulations must be based on the Social Model of Disability and the UN Convention of the Rights of Persons with Disabilities (which the UK has signed, giving obligations to the Government), and in particular article 20: “a) facilitating the personal mobility of persons with disabilities in the manner and at the time of their choice, and at affordable cost</w:t>
      </w:r>
      <w:r w:rsidR="5FF12D75" w:rsidRPr="5D78B5C8">
        <w:rPr>
          <w:rFonts w:eastAsiaTheme="minorEastAsia"/>
        </w:rPr>
        <w:t>;</w:t>
      </w:r>
      <w:r w:rsidRPr="5D78B5C8">
        <w:rPr>
          <w:rFonts w:eastAsiaTheme="minorEastAsia"/>
        </w:rPr>
        <w:t xml:space="preserve"> b) Facilitating access by persons with disabilities to quality mobility aids, devices, assistive technologies and forms of live assistance and intermediaries, including by making them available at affordable cost;”</w:t>
      </w:r>
      <w:r>
        <w:br/>
      </w:r>
    </w:p>
    <w:p w14:paraId="29313834" w14:textId="43917EA0" w:rsidR="002D385E" w:rsidRPr="00D15B83" w:rsidRDefault="002D385E" w:rsidP="5D78B5C8">
      <w:pPr>
        <w:pStyle w:val="ListParagraph"/>
        <w:numPr>
          <w:ilvl w:val="0"/>
          <w:numId w:val="26"/>
        </w:numPr>
        <w:spacing w:before="240" w:after="120" w:line="276" w:lineRule="auto"/>
        <w:ind w:left="714" w:hanging="357"/>
        <w:contextualSpacing/>
        <w:rPr>
          <w:rFonts w:eastAsiaTheme="minorEastAsia"/>
        </w:rPr>
      </w:pPr>
      <w:r w:rsidRPr="5D78B5C8">
        <w:rPr>
          <w:rFonts w:eastAsiaTheme="minorEastAsia"/>
        </w:rPr>
        <w:t xml:space="preserve">Regulations must not introduce or make use of a definition of </w:t>
      </w:r>
      <w:r w:rsidR="00823B34" w:rsidRPr="5D78B5C8">
        <w:rPr>
          <w:rFonts w:eastAsiaTheme="minorEastAsia"/>
        </w:rPr>
        <w:t>d</w:t>
      </w:r>
      <w:r w:rsidRPr="5D78B5C8">
        <w:rPr>
          <w:rFonts w:eastAsiaTheme="minorEastAsia"/>
        </w:rPr>
        <w:t xml:space="preserve">isability that is more restrictive than the Equality Act 2010. Everybody who has </w:t>
      </w:r>
      <w:r w:rsidR="00823B34" w:rsidRPr="5D78B5C8">
        <w:rPr>
          <w:rFonts w:eastAsiaTheme="minorEastAsia"/>
        </w:rPr>
        <w:t>d</w:t>
      </w:r>
      <w:r w:rsidRPr="5D78B5C8">
        <w:rPr>
          <w:rFonts w:eastAsiaTheme="minorEastAsia"/>
        </w:rPr>
        <w:t>isability rights under Equality Act 2010 should thereby have full rights to use mobility aids. Disabled people are the people who are best placed to judge what mobility aids are essential to our lives. Regulations should be designed on a pan-impairment basis, recognising the needs of disparate Disabled people, including those with visual impairments and</w:t>
      </w:r>
      <w:r w:rsidR="383F5AB6" w:rsidRPr="5D78B5C8">
        <w:rPr>
          <w:rFonts w:eastAsiaTheme="minorEastAsia"/>
        </w:rPr>
        <w:t xml:space="preserve"> who are</w:t>
      </w:r>
      <w:r w:rsidRPr="5D78B5C8">
        <w:rPr>
          <w:rFonts w:eastAsiaTheme="minorEastAsia"/>
        </w:rPr>
        <w:t xml:space="preserve"> neurodivergen</w:t>
      </w:r>
      <w:r w:rsidR="7718A1AE" w:rsidRPr="5D78B5C8">
        <w:rPr>
          <w:rFonts w:eastAsiaTheme="minorEastAsia"/>
        </w:rPr>
        <w:t>t</w:t>
      </w:r>
      <w:r w:rsidRPr="5D78B5C8">
        <w:rPr>
          <w:rFonts w:eastAsiaTheme="minorEastAsia"/>
        </w:rPr>
        <w:t xml:space="preserve">. Professionals must not be allowed to gatekeep which Disabled people get full rights to use mobility aids. </w:t>
      </w:r>
      <w:r>
        <w:br/>
      </w:r>
    </w:p>
    <w:p w14:paraId="6045E487" w14:textId="77777777" w:rsidR="002D385E" w:rsidRDefault="002D385E" w:rsidP="002D385E">
      <w:pPr>
        <w:pStyle w:val="ListParagraph"/>
        <w:numPr>
          <w:ilvl w:val="0"/>
          <w:numId w:val="26"/>
        </w:numPr>
        <w:spacing w:before="240" w:after="120" w:line="276" w:lineRule="auto"/>
        <w:ind w:left="714" w:hanging="357"/>
        <w:contextualSpacing/>
        <w:rPr>
          <w:rFonts w:eastAsiaTheme="minorEastAsia"/>
        </w:rPr>
      </w:pPr>
      <w:r w:rsidRPr="262685A1">
        <w:rPr>
          <w:rFonts w:eastAsiaTheme="minorEastAsia"/>
          <w:szCs w:val="24"/>
        </w:rPr>
        <w:t xml:space="preserve">Regulations must be compatible with the Mental Capacity Act 2005, and work on the presumption that, if adult, Disabled people have mental capacity (including to judge our own safety). Where the Disabled person does not have capacity (whether due to impairment or because they are a child), their responsible adult should similarly be presumed to be able to judge what is safe for them as an individual from </w:t>
      </w:r>
      <w:proofErr w:type="gramStart"/>
      <w:r w:rsidRPr="262685A1">
        <w:rPr>
          <w:rFonts w:eastAsiaTheme="minorEastAsia"/>
          <w:szCs w:val="24"/>
        </w:rPr>
        <w:t>day-to-day, and</w:t>
      </w:r>
      <w:proofErr w:type="gramEnd"/>
      <w:r w:rsidRPr="262685A1">
        <w:rPr>
          <w:rFonts w:eastAsiaTheme="minorEastAsia"/>
          <w:szCs w:val="24"/>
        </w:rPr>
        <w:t xml:space="preserve"> implement suitable bespoke restrictions on any </w:t>
      </w:r>
      <w:proofErr w:type="gramStart"/>
      <w:r w:rsidRPr="262685A1">
        <w:rPr>
          <w:rFonts w:eastAsiaTheme="minorEastAsia"/>
          <w:szCs w:val="24"/>
        </w:rPr>
        <w:t>particular device</w:t>
      </w:r>
      <w:proofErr w:type="gramEnd"/>
      <w:r w:rsidRPr="262685A1">
        <w:rPr>
          <w:rFonts w:eastAsiaTheme="minorEastAsia"/>
          <w:szCs w:val="24"/>
        </w:rPr>
        <w:t xml:space="preserve"> that individual uses. </w:t>
      </w:r>
      <w:r>
        <w:br/>
      </w:r>
    </w:p>
    <w:p w14:paraId="06C728BD" w14:textId="21727BC8" w:rsidR="00096C87" w:rsidRPr="00096C87" w:rsidRDefault="00096C87" w:rsidP="00096C87">
      <w:pPr>
        <w:tabs>
          <w:tab w:val="left" w:pos="7548"/>
        </w:tabs>
      </w:pPr>
      <w:r>
        <w:tab/>
      </w:r>
    </w:p>
    <w:p w14:paraId="745CED60" w14:textId="77777777" w:rsidR="002D385E" w:rsidRPr="00D15B83" w:rsidRDefault="002D385E" w:rsidP="002D385E">
      <w:pPr>
        <w:pStyle w:val="ListParagraph"/>
        <w:numPr>
          <w:ilvl w:val="0"/>
          <w:numId w:val="26"/>
        </w:numPr>
        <w:spacing w:before="240" w:after="120" w:line="276" w:lineRule="auto"/>
        <w:rPr>
          <w:rFonts w:eastAsiaTheme="minorEastAsia"/>
          <w:color w:val="000000"/>
        </w:rPr>
      </w:pPr>
      <w:r w:rsidRPr="262685A1">
        <w:rPr>
          <w:rFonts w:eastAsiaTheme="minorEastAsia"/>
          <w:color w:val="000000" w:themeColor="text1"/>
          <w:szCs w:val="24"/>
        </w:rPr>
        <w:lastRenderedPageBreak/>
        <w:t>Mobility device regulations must provide equal rights to access pedestrian, cycling and cycling-equivalent mobility for Disabled people. This must include rights for:</w:t>
      </w:r>
    </w:p>
    <w:p w14:paraId="2C0B7004" w14:textId="77777777" w:rsidR="002D385E" w:rsidRPr="00D15B83" w:rsidRDefault="002D385E" w:rsidP="002D385E">
      <w:pPr>
        <w:pStyle w:val="ListParagraph"/>
        <w:numPr>
          <w:ilvl w:val="1"/>
          <w:numId w:val="26"/>
        </w:numPr>
        <w:spacing w:before="120" w:after="120" w:line="276" w:lineRule="auto"/>
        <w:rPr>
          <w:rFonts w:eastAsiaTheme="minorEastAsia"/>
          <w:color w:val="000000"/>
        </w:rPr>
      </w:pPr>
      <w:r w:rsidRPr="262685A1">
        <w:rPr>
          <w:rFonts w:eastAsiaTheme="minorEastAsia"/>
          <w:color w:val="000000" w:themeColor="text1"/>
          <w:szCs w:val="24"/>
        </w:rPr>
        <w:t xml:space="preserve">Disabled people to use diverse mobility aids at pedestrian speeds in all pedestrian spaces, and at cycling-equivalent speeds wherever cycling is permitted; It needs to be recognised that mobility aids may in future take very different shapes from those in the three current classes of “invalid carriage”. </w:t>
      </w:r>
    </w:p>
    <w:p w14:paraId="4DD511E9" w14:textId="77777777" w:rsidR="002D385E" w:rsidRPr="00D15B83" w:rsidRDefault="002D385E" w:rsidP="002D385E">
      <w:pPr>
        <w:pStyle w:val="ListParagraph"/>
        <w:numPr>
          <w:ilvl w:val="1"/>
          <w:numId w:val="26"/>
        </w:numPr>
        <w:spacing w:before="120" w:after="120" w:line="276" w:lineRule="auto"/>
        <w:rPr>
          <w:rFonts w:eastAsiaTheme="minorEastAsia"/>
          <w:color w:val="000000"/>
        </w:rPr>
      </w:pPr>
      <w:r w:rsidRPr="262685A1">
        <w:rPr>
          <w:rFonts w:eastAsiaTheme="minorEastAsia"/>
          <w:color w:val="000000" w:themeColor="text1"/>
          <w:szCs w:val="24"/>
        </w:rPr>
        <w:t>Disabled people of all ages to use our chosen mobility aids to move in equivalent ways to non-disabled peers, including but not limited to:</w:t>
      </w:r>
    </w:p>
    <w:p w14:paraId="021CE3ED" w14:textId="0478D806" w:rsidR="002D385E" w:rsidRPr="00D15B83" w:rsidRDefault="002D385E" w:rsidP="002D385E">
      <w:pPr>
        <w:pStyle w:val="ListParagraph"/>
        <w:numPr>
          <w:ilvl w:val="2"/>
          <w:numId w:val="26"/>
        </w:numPr>
        <w:spacing w:before="120" w:after="120" w:line="276" w:lineRule="auto"/>
        <w:rPr>
          <w:rFonts w:eastAsiaTheme="minorEastAsia"/>
          <w:color w:val="000000"/>
        </w:rPr>
      </w:pPr>
      <w:r w:rsidRPr="262685A1">
        <w:rPr>
          <w:rFonts w:eastAsiaTheme="minorEastAsia"/>
          <w:color w:val="000000" w:themeColor="text1"/>
          <w:szCs w:val="24"/>
        </w:rPr>
        <w:t xml:space="preserve">The right for Disabled people to transport others of all ages and shopping, luggage, etc. in comparable ways to non-disabled people walking/cycling, </w:t>
      </w:r>
      <w:r w:rsidR="00BB5E58" w:rsidRPr="262685A1">
        <w:rPr>
          <w:rFonts w:eastAsiaTheme="minorEastAsia"/>
          <w:color w:val="000000" w:themeColor="text1"/>
          <w:szCs w:val="24"/>
        </w:rPr>
        <w:t>e</w:t>
      </w:r>
      <w:r w:rsidR="00BB5E58">
        <w:rPr>
          <w:rFonts w:eastAsiaTheme="minorEastAsia"/>
          <w:color w:val="000000" w:themeColor="text1"/>
          <w:szCs w:val="24"/>
        </w:rPr>
        <w:t>.</w:t>
      </w:r>
      <w:r w:rsidR="00BB5E58" w:rsidRPr="262685A1">
        <w:rPr>
          <w:rFonts w:eastAsiaTheme="minorEastAsia"/>
          <w:color w:val="000000" w:themeColor="text1"/>
          <w:szCs w:val="24"/>
        </w:rPr>
        <w:t>g.,</w:t>
      </w:r>
      <w:r w:rsidR="00096C87">
        <w:rPr>
          <w:rFonts w:eastAsiaTheme="minorEastAsia"/>
          <w:color w:val="000000" w:themeColor="text1"/>
          <w:szCs w:val="24"/>
        </w:rPr>
        <w:t xml:space="preserve"> </w:t>
      </w:r>
      <w:r w:rsidRPr="262685A1">
        <w:rPr>
          <w:rFonts w:eastAsiaTheme="minorEastAsia"/>
          <w:color w:val="000000" w:themeColor="text1"/>
          <w:szCs w:val="24"/>
        </w:rPr>
        <w:t>using pushchairs, trailers, child seats/carriers and multi-person/separable aids;</w:t>
      </w:r>
    </w:p>
    <w:p w14:paraId="2960AB21" w14:textId="2F7A4F11" w:rsidR="002D385E" w:rsidRPr="00D15B83" w:rsidRDefault="002D385E" w:rsidP="5D78B5C8">
      <w:pPr>
        <w:pStyle w:val="ListParagraph"/>
        <w:numPr>
          <w:ilvl w:val="2"/>
          <w:numId w:val="26"/>
        </w:numPr>
        <w:spacing w:before="120" w:after="120" w:line="276" w:lineRule="auto"/>
        <w:rPr>
          <w:rFonts w:eastAsiaTheme="minorEastAsia"/>
          <w:color w:val="000000"/>
        </w:rPr>
      </w:pPr>
      <w:r w:rsidRPr="5D78B5C8">
        <w:rPr>
          <w:rFonts w:eastAsiaTheme="minorEastAsia"/>
          <w:color w:val="000000" w:themeColor="text1"/>
        </w:rPr>
        <w:t xml:space="preserve">The right </w:t>
      </w:r>
      <w:r w:rsidR="5F11CF29" w:rsidRPr="5D78B5C8">
        <w:rPr>
          <w:rFonts w:eastAsiaTheme="minorEastAsia"/>
          <w:color w:val="000000" w:themeColor="text1"/>
        </w:rPr>
        <w:t xml:space="preserve">of </w:t>
      </w:r>
      <w:r w:rsidRPr="5D78B5C8">
        <w:rPr>
          <w:rFonts w:eastAsiaTheme="minorEastAsia"/>
          <w:color w:val="000000" w:themeColor="text1"/>
        </w:rPr>
        <w:t>all Disabled people, including Disabled children to use devices enabling movement at running and cycling-equivalent speeds (for those who are children or without capacity this will be as their responsible adult deems appropriate).</w:t>
      </w:r>
      <w:r>
        <w:br/>
      </w:r>
    </w:p>
    <w:p w14:paraId="7C91D506" w14:textId="5F2C86F9" w:rsidR="002D385E" w:rsidRPr="00D15B83"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Disabled people should not be </w:t>
      </w:r>
      <w:r w:rsidR="00BB5E58">
        <w:rPr>
          <w:rFonts w:eastAsiaTheme="minorEastAsia"/>
          <w:szCs w:val="24"/>
        </w:rPr>
        <w:t>made</w:t>
      </w:r>
      <w:r w:rsidRPr="262685A1">
        <w:rPr>
          <w:rFonts w:eastAsiaTheme="minorEastAsia"/>
          <w:szCs w:val="24"/>
        </w:rPr>
        <w:t xml:space="preserve"> to wear protective equipment or </w:t>
      </w:r>
      <w:r w:rsidR="00BB5E58">
        <w:rPr>
          <w:rFonts w:eastAsiaTheme="minorEastAsia"/>
          <w:szCs w:val="24"/>
        </w:rPr>
        <w:t>meet</w:t>
      </w:r>
      <w:r w:rsidRPr="262685A1">
        <w:rPr>
          <w:rFonts w:eastAsiaTheme="minorEastAsia"/>
          <w:szCs w:val="24"/>
        </w:rPr>
        <w:t xml:space="preserve"> requirements for reflectiveness or lights that equivalent non-disabled people are not required to meet </w:t>
      </w:r>
      <w:r w:rsidR="00BB5E58" w:rsidRPr="262685A1">
        <w:rPr>
          <w:rFonts w:eastAsiaTheme="minorEastAsia"/>
          <w:szCs w:val="24"/>
        </w:rPr>
        <w:t>e.g.,</w:t>
      </w:r>
      <w:r w:rsidRPr="262685A1">
        <w:rPr>
          <w:rFonts w:eastAsiaTheme="minorEastAsia"/>
          <w:szCs w:val="24"/>
        </w:rPr>
        <w:t xml:space="preserve"> there </w:t>
      </w:r>
      <w:r w:rsidR="0054628E">
        <w:rPr>
          <w:rFonts w:eastAsiaTheme="minorEastAsia"/>
          <w:szCs w:val="24"/>
        </w:rPr>
        <w:t>must be</w:t>
      </w:r>
      <w:r w:rsidRPr="262685A1">
        <w:rPr>
          <w:rFonts w:eastAsiaTheme="minorEastAsia"/>
          <w:szCs w:val="24"/>
        </w:rPr>
        <w:t xml:space="preserve"> no requirement for protective clothing such as helmets for devices where the maximum powered speed is no higher than 15.5mph – the speed for legal e</w:t>
      </w:r>
      <w:r w:rsidR="00096C87">
        <w:rPr>
          <w:rFonts w:eastAsiaTheme="minorEastAsia"/>
          <w:szCs w:val="24"/>
        </w:rPr>
        <w:t>-c</w:t>
      </w:r>
      <w:r w:rsidRPr="262685A1">
        <w:rPr>
          <w:rFonts w:eastAsiaTheme="minorEastAsia"/>
          <w:szCs w:val="24"/>
        </w:rPr>
        <w:t xml:space="preserve">ycles and e-scooter trials.  </w:t>
      </w:r>
      <w:r>
        <w:br/>
      </w:r>
    </w:p>
    <w:p w14:paraId="01A63554" w14:textId="1847E0A0" w:rsidR="002D385E" w:rsidRPr="00D15B83"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New mobility regulations should not be based on current templates, particularly the class 3 invalid carriage category, which imposes burdens and restrictions on Disabled people which have no </w:t>
      </w:r>
      <w:r w:rsidR="008E0430">
        <w:rPr>
          <w:rFonts w:eastAsiaTheme="minorEastAsia"/>
          <w:szCs w:val="24"/>
        </w:rPr>
        <w:t>equivalents applying to non-disabled people,</w:t>
      </w:r>
      <w:r w:rsidRPr="262685A1">
        <w:rPr>
          <w:rFonts w:eastAsiaTheme="minorEastAsia"/>
          <w:szCs w:val="24"/>
        </w:rPr>
        <w:t xml:space="preserve"> and exceed what would be considered reasonable for non-disabled people. </w:t>
      </w:r>
      <w:r>
        <w:br/>
      </w:r>
    </w:p>
    <w:p w14:paraId="60588B97" w14:textId="77777777" w:rsidR="002D385E" w:rsidRPr="00D15B83"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Mobility device regulations must be least-restrictive, future-proofed and clearly worded. Regulations and associated standards must be freely available in accessible formats. </w:t>
      </w:r>
      <w:r>
        <w:br/>
      </w:r>
    </w:p>
    <w:p w14:paraId="3FF002EA" w14:textId="77777777" w:rsidR="002D385E" w:rsidRPr="00D15B83"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Disabled people using mobility aids should be subject to the same civil and criminal enforcement against dangerous and antisocial behaviour that apply to everyone. </w:t>
      </w:r>
      <w:r>
        <w:br/>
      </w:r>
    </w:p>
    <w:p w14:paraId="75AC8EE4" w14:textId="566F65D9" w:rsidR="002D385E" w:rsidRPr="00D15B83"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Where (and to the extent that) no </w:t>
      </w:r>
      <w:r w:rsidR="002949E9">
        <w:rPr>
          <w:rFonts w:eastAsiaTheme="minorEastAsia"/>
          <w:szCs w:val="24"/>
        </w:rPr>
        <w:t xml:space="preserve">significant </w:t>
      </w:r>
      <w:r w:rsidRPr="262685A1">
        <w:rPr>
          <w:rFonts w:eastAsiaTheme="minorEastAsia"/>
          <w:szCs w:val="24"/>
        </w:rPr>
        <w:t>adverse consequences can be foreseen, non-disabled people should also be allowed to use mobility aids</w:t>
      </w:r>
      <w:r w:rsidR="002949E9">
        <w:rPr>
          <w:rFonts w:eastAsiaTheme="minorEastAsia"/>
          <w:szCs w:val="24"/>
        </w:rPr>
        <w:t xml:space="preserve">. This will </w:t>
      </w:r>
      <w:r w:rsidRPr="262685A1">
        <w:rPr>
          <w:rFonts w:eastAsiaTheme="minorEastAsia"/>
          <w:szCs w:val="24"/>
        </w:rPr>
        <w:t>help make them be more mass-market items, and thus cheaper</w:t>
      </w:r>
      <w:r w:rsidR="00036711">
        <w:rPr>
          <w:rFonts w:eastAsiaTheme="minorEastAsia"/>
          <w:szCs w:val="24"/>
        </w:rPr>
        <w:t xml:space="preserve"> and </w:t>
      </w:r>
      <w:r w:rsidR="003C6A55">
        <w:rPr>
          <w:rFonts w:eastAsiaTheme="minorEastAsia"/>
          <w:szCs w:val="24"/>
        </w:rPr>
        <w:t xml:space="preserve">more widely available </w:t>
      </w:r>
      <w:r w:rsidRPr="262685A1">
        <w:rPr>
          <w:rFonts w:eastAsiaTheme="minorEastAsia"/>
          <w:szCs w:val="24"/>
        </w:rPr>
        <w:t xml:space="preserve">for the Disabled people who rely on them. </w:t>
      </w:r>
      <w:r>
        <w:br/>
      </w:r>
    </w:p>
    <w:p w14:paraId="3CAD9110" w14:textId="061E023C" w:rsidR="007767F7" w:rsidRPr="002D385E" w:rsidRDefault="002D385E" w:rsidP="002D385E">
      <w:pPr>
        <w:pStyle w:val="ListParagraph"/>
        <w:numPr>
          <w:ilvl w:val="0"/>
          <w:numId w:val="26"/>
        </w:numPr>
        <w:spacing w:before="240" w:after="120" w:line="276" w:lineRule="auto"/>
        <w:contextualSpacing/>
        <w:rPr>
          <w:rFonts w:eastAsiaTheme="minorEastAsia"/>
        </w:rPr>
      </w:pPr>
      <w:r w:rsidRPr="262685A1">
        <w:rPr>
          <w:rFonts w:eastAsiaTheme="minorEastAsia"/>
          <w:szCs w:val="24"/>
        </w:rPr>
        <w:t xml:space="preserve">The principle of “nothing about us without us” should apply, and the voices of Disabled Peoples’ Organisations and Disabled people should not be overridden by the voices of non-disabled people, and organisations run by non-disabled people, no matter how well-meaning and experienced. </w:t>
      </w:r>
    </w:p>
    <w:sectPr w:rsidR="007767F7" w:rsidRPr="002D385E" w:rsidSect="00E11D82">
      <w:headerReference w:type="default" r:id="rId11"/>
      <w:footerReference w:type="default" r:id="rId12"/>
      <w:headerReference w:type="first" r:id="rId13"/>
      <w:footerReference w:type="first" r:id="rId14"/>
      <w:endnotePr>
        <w:numFmt w:val="decimal"/>
      </w:endnotePr>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33382" w14:textId="77777777" w:rsidR="005720DF" w:rsidRDefault="005720DF" w:rsidP="00D138FA">
      <w:pPr>
        <w:spacing w:after="0" w:line="240" w:lineRule="auto"/>
      </w:pPr>
      <w:r>
        <w:separator/>
      </w:r>
    </w:p>
  </w:endnote>
  <w:endnote w:type="continuationSeparator" w:id="0">
    <w:p w14:paraId="17EAE113" w14:textId="77777777" w:rsidR="005720DF" w:rsidRDefault="005720DF" w:rsidP="00D1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5B6C2" w14:textId="25750BBB"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ref </w:t>
    </w:r>
    <w:r w:rsidR="004E525D">
      <w:rPr>
        <w:color w:val="FFFFFF" w:themeColor="background1"/>
        <w:lang w:val="en-US"/>
      </w:rPr>
      <w:t>kn04</w:t>
    </w:r>
    <w:r w:rsidR="00054403">
      <w:rPr>
        <w:color w:val="FFFFFF" w:themeColor="background1"/>
        <w:lang w:val="en-US"/>
      </w:rPr>
      <w:t>/2026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1B93F" w14:textId="77777777" w:rsidR="005720DF" w:rsidRDefault="005720DF" w:rsidP="00D138FA">
      <w:pPr>
        <w:spacing w:after="0" w:line="240" w:lineRule="auto"/>
      </w:pPr>
      <w:r>
        <w:separator/>
      </w:r>
    </w:p>
  </w:footnote>
  <w:footnote w:type="continuationSeparator" w:id="0">
    <w:p w14:paraId="1677CCF2" w14:textId="77777777" w:rsidR="005720DF" w:rsidRDefault="005720DF"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7537F"/>
    <w:multiLevelType w:val="hybridMultilevel"/>
    <w:tmpl w:val="EECA4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7F09D2"/>
    <w:multiLevelType w:val="hybridMultilevel"/>
    <w:tmpl w:val="DCE27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859CD"/>
    <w:multiLevelType w:val="hybridMultilevel"/>
    <w:tmpl w:val="6C0EE11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C1213C"/>
    <w:multiLevelType w:val="hybridMultilevel"/>
    <w:tmpl w:val="602C1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0751113">
    <w:abstractNumId w:val="23"/>
  </w:num>
  <w:num w:numId="2" w16cid:durableId="2140567835">
    <w:abstractNumId w:val="10"/>
  </w:num>
  <w:num w:numId="3" w16cid:durableId="1310133330">
    <w:abstractNumId w:val="25"/>
  </w:num>
  <w:num w:numId="4" w16cid:durableId="285352761">
    <w:abstractNumId w:val="23"/>
  </w:num>
  <w:num w:numId="5" w16cid:durableId="592668154">
    <w:abstractNumId w:val="13"/>
  </w:num>
  <w:num w:numId="6" w16cid:durableId="434255244">
    <w:abstractNumId w:val="12"/>
  </w:num>
  <w:num w:numId="7" w16cid:durableId="2106611913">
    <w:abstractNumId w:val="0"/>
  </w:num>
  <w:num w:numId="8" w16cid:durableId="1631016526">
    <w:abstractNumId w:val="17"/>
  </w:num>
  <w:num w:numId="9" w16cid:durableId="171989543">
    <w:abstractNumId w:val="16"/>
  </w:num>
  <w:num w:numId="10" w16cid:durableId="1047029589">
    <w:abstractNumId w:val="7"/>
  </w:num>
  <w:num w:numId="11" w16cid:durableId="796459972">
    <w:abstractNumId w:val="6"/>
  </w:num>
  <w:num w:numId="12" w16cid:durableId="1454128439">
    <w:abstractNumId w:val="19"/>
  </w:num>
  <w:num w:numId="13" w16cid:durableId="974288642">
    <w:abstractNumId w:val="22"/>
  </w:num>
  <w:num w:numId="14" w16cid:durableId="1155419103">
    <w:abstractNumId w:val="5"/>
  </w:num>
  <w:num w:numId="15" w16cid:durableId="531457659">
    <w:abstractNumId w:val="11"/>
  </w:num>
  <w:num w:numId="16" w16cid:durableId="1843617523">
    <w:abstractNumId w:val="24"/>
  </w:num>
  <w:num w:numId="17" w16cid:durableId="1932932265">
    <w:abstractNumId w:val="20"/>
  </w:num>
  <w:num w:numId="18" w16cid:durableId="875658721">
    <w:abstractNumId w:val="21"/>
  </w:num>
  <w:num w:numId="19" w16cid:durableId="779027724">
    <w:abstractNumId w:val="9"/>
  </w:num>
  <w:num w:numId="20" w16cid:durableId="1531340321">
    <w:abstractNumId w:val="14"/>
  </w:num>
  <w:num w:numId="21" w16cid:durableId="758871139">
    <w:abstractNumId w:val="2"/>
  </w:num>
  <w:num w:numId="22" w16cid:durableId="438838430">
    <w:abstractNumId w:val="15"/>
  </w:num>
  <w:num w:numId="23" w16cid:durableId="782193796">
    <w:abstractNumId w:val="1"/>
  </w:num>
  <w:num w:numId="24" w16cid:durableId="556480645">
    <w:abstractNumId w:val="3"/>
  </w:num>
  <w:num w:numId="25" w16cid:durableId="1036587828">
    <w:abstractNumId w:val="8"/>
  </w:num>
  <w:num w:numId="26" w16cid:durableId="191431082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03C63"/>
    <w:rsid w:val="000043F8"/>
    <w:rsid w:val="0001156A"/>
    <w:rsid w:val="00012B6D"/>
    <w:rsid w:val="00017F3F"/>
    <w:rsid w:val="00024501"/>
    <w:rsid w:val="000303F1"/>
    <w:rsid w:val="000347B4"/>
    <w:rsid w:val="00036711"/>
    <w:rsid w:val="00045636"/>
    <w:rsid w:val="00050172"/>
    <w:rsid w:val="000510BD"/>
    <w:rsid w:val="0005213D"/>
    <w:rsid w:val="000525B7"/>
    <w:rsid w:val="0005367B"/>
    <w:rsid w:val="00053ED5"/>
    <w:rsid w:val="00054403"/>
    <w:rsid w:val="0006066D"/>
    <w:rsid w:val="000645A8"/>
    <w:rsid w:val="00066FF7"/>
    <w:rsid w:val="000676CE"/>
    <w:rsid w:val="00074101"/>
    <w:rsid w:val="000752C7"/>
    <w:rsid w:val="000837FF"/>
    <w:rsid w:val="00083F42"/>
    <w:rsid w:val="000927EA"/>
    <w:rsid w:val="00095111"/>
    <w:rsid w:val="0009619D"/>
    <w:rsid w:val="00096C87"/>
    <w:rsid w:val="00097C85"/>
    <w:rsid w:val="000A065C"/>
    <w:rsid w:val="000A0892"/>
    <w:rsid w:val="000A1D78"/>
    <w:rsid w:val="000A5F95"/>
    <w:rsid w:val="000B13C2"/>
    <w:rsid w:val="000B5E7B"/>
    <w:rsid w:val="000C21B6"/>
    <w:rsid w:val="000D3E25"/>
    <w:rsid w:val="000E31DC"/>
    <w:rsid w:val="000E3628"/>
    <w:rsid w:val="000E4DE8"/>
    <w:rsid w:val="000E4F5A"/>
    <w:rsid w:val="000F09B9"/>
    <w:rsid w:val="000F2352"/>
    <w:rsid w:val="000F4000"/>
    <w:rsid w:val="000F44DA"/>
    <w:rsid w:val="000F4875"/>
    <w:rsid w:val="000F5897"/>
    <w:rsid w:val="001132A7"/>
    <w:rsid w:val="00115209"/>
    <w:rsid w:val="00123271"/>
    <w:rsid w:val="001267DF"/>
    <w:rsid w:val="00130C7E"/>
    <w:rsid w:val="001315B3"/>
    <w:rsid w:val="001317BA"/>
    <w:rsid w:val="001350A0"/>
    <w:rsid w:val="00146690"/>
    <w:rsid w:val="001466F6"/>
    <w:rsid w:val="00147C6C"/>
    <w:rsid w:val="00150D89"/>
    <w:rsid w:val="00152555"/>
    <w:rsid w:val="0015298B"/>
    <w:rsid w:val="0015321E"/>
    <w:rsid w:val="00157B2E"/>
    <w:rsid w:val="00160592"/>
    <w:rsid w:val="00160957"/>
    <w:rsid w:val="0016250F"/>
    <w:rsid w:val="00162D6E"/>
    <w:rsid w:val="00165874"/>
    <w:rsid w:val="001666E1"/>
    <w:rsid w:val="00171BD5"/>
    <w:rsid w:val="00172DA7"/>
    <w:rsid w:val="00173A7C"/>
    <w:rsid w:val="00174D49"/>
    <w:rsid w:val="001764E7"/>
    <w:rsid w:val="001844BE"/>
    <w:rsid w:val="0018658F"/>
    <w:rsid w:val="00196671"/>
    <w:rsid w:val="001A17F3"/>
    <w:rsid w:val="001A3E5F"/>
    <w:rsid w:val="001A758C"/>
    <w:rsid w:val="001B117D"/>
    <w:rsid w:val="001B3DC4"/>
    <w:rsid w:val="001C010C"/>
    <w:rsid w:val="001C0405"/>
    <w:rsid w:val="001D1C55"/>
    <w:rsid w:val="001D367B"/>
    <w:rsid w:val="001D78DB"/>
    <w:rsid w:val="001E1764"/>
    <w:rsid w:val="001E50C6"/>
    <w:rsid w:val="001F4540"/>
    <w:rsid w:val="001F4BE6"/>
    <w:rsid w:val="001F4C7C"/>
    <w:rsid w:val="00202A0A"/>
    <w:rsid w:val="00204433"/>
    <w:rsid w:val="00205293"/>
    <w:rsid w:val="002065B1"/>
    <w:rsid w:val="00213B69"/>
    <w:rsid w:val="00226B29"/>
    <w:rsid w:val="00231DC1"/>
    <w:rsid w:val="00232129"/>
    <w:rsid w:val="00232A81"/>
    <w:rsid w:val="00236848"/>
    <w:rsid w:val="00237890"/>
    <w:rsid w:val="00237E71"/>
    <w:rsid w:val="00237EA6"/>
    <w:rsid w:val="00242148"/>
    <w:rsid w:val="002447F6"/>
    <w:rsid w:val="00257974"/>
    <w:rsid w:val="00276329"/>
    <w:rsid w:val="00277A2A"/>
    <w:rsid w:val="0028317C"/>
    <w:rsid w:val="00284AB9"/>
    <w:rsid w:val="0028548E"/>
    <w:rsid w:val="00285E9A"/>
    <w:rsid w:val="002875D3"/>
    <w:rsid w:val="002949E9"/>
    <w:rsid w:val="0029525A"/>
    <w:rsid w:val="00295BB1"/>
    <w:rsid w:val="002972EE"/>
    <w:rsid w:val="002A5C4E"/>
    <w:rsid w:val="002B042E"/>
    <w:rsid w:val="002C44D2"/>
    <w:rsid w:val="002C50CB"/>
    <w:rsid w:val="002C55FB"/>
    <w:rsid w:val="002C5B1D"/>
    <w:rsid w:val="002D0489"/>
    <w:rsid w:val="002D385E"/>
    <w:rsid w:val="002D7AF0"/>
    <w:rsid w:val="002E2096"/>
    <w:rsid w:val="002E27D2"/>
    <w:rsid w:val="002E33B7"/>
    <w:rsid w:val="002E4D6D"/>
    <w:rsid w:val="002E6A7D"/>
    <w:rsid w:val="002F3B55"/>
    <w:rsid w:val="002F65FD"/>
    <w:rsid w:val="00301993"/>
    <w:rsid w:val="003049DA"/>
    <w:rsid w:val="00306A2F"/>
    <w:rsid w:val="00310916"/>
    <w:rsid w:val="00310ADB"/>
    <w:rsid w:val="003111B7"/>
    <w:rsid w:val="003149D7"/>
    <w:rsid w:val="00314CE2"/>
    <w:rsid w:val="00316557"/>
    <w:rsid w:val="003172C2"/>
    <w:rsid w:val="00323C97"/>
    <w:rsid w:val="003250A5"/>
    <w:rsid w:val="00325C5D"/>
    <w:rsid w:val="00325D42"/>
    <w:rsid w:val="00331922"/>
    <w:rsid w:val="00332D3E"/>
    <w:rsid w:val="003351CD"/>
    <w:rsid w:val="0033776E"/>
    <w:rsid w:val="003423DC"/>
    <w:rsid w:val="00346751"/>
    <w:rsid w:val="00352637"/>
    <w:rsid w:val="0035457A"/>
    <w:rsid w:val="00356251"/>
    <w:rsid w:val="00356877"/>
    <w:rsid w:val="00357D45"/>
    <w:rsid w:val="00361DC5"/>
    <w:rsid w:val="0036460E"/>
    <w:rsid w:val="00377CE6"/>
    <w:rsid w:val="00377DF3"/>
    <w:rsid w:val="003823C0"/>
    <w:rsid w:val="00382E9A"/>
    <w:rsid w:val="003844D4"/>
    <w:rsid w:val="003850B6"/>
    <w:rsid w:val="0038614F"/>
    <w:rsid w:val="003866BF"/>
    <w:rsid w:val="00392F88"/>
    <w:rsid w:val="00396A52"/>
    <w:rsid w:val="00397A37"/>
    <w:rsid w:val="003A412C"/>
    <w:rsid w:val="003A4A32"/>
    <w:rsid w:val="003A6E6D"/>
    <w:rsid w:val="003B2AC4"/>
    <w:rsid w:val="003B7577"/>
    <w:rsid w:val="003C1643"/>
    <w:rsid w:val="003C4F7F"/>
    <w:rsid w:val="003C6A55"/>
    <w:rsid w:val="003C74E0"/>
    <w:rsid w:val="003D1DFB"/>
    <w:rsid w:val="003D2843"/>
    <w:rsid w:val="003D2C95"/>
    <w:rsid w:val="003D3181"/>
    <w:rsid w:val="003D3FCC"/>
    <w:rsid w:val="003D552F"/>
    <w:rsid w:val="003E0C84"/>
    <w:rsid w:val="003E56FE"/>
    <w:rsid w:val="003E57E6"/>
    <w:rsid w:val="003F1C78"/>
    <w:rsid w:val="003F1D0B"/>
    <w:rsid w:val="003F4918"/>
    <w:rsid w:val="003F66B9"/>
    <w:rsid w:val="003F685E"/>
    <w:rsid w:val="00401553"/>
    <w:rsid w:val="00402853"/>
    <w:rsid w:val="0040764B"/>
    <w:rsid w:val="00410522"/>
    <w:rsid w:val="004106A0"/>
    <w:rsid w:val="00414DF1"/>
    <w:rsid w:val="0041528F"/>
    <w:rsid w:val="00426817"/>
    <w:rsid w:val="00427654"/>
    <w:rsid w:val="00427B14"/>
    <w:rsid w:val="00430977"/>
    <w:rsid w:val="004375DE"/>
    <w:rsid w:val="00441E11"/>
    <w:rsid w:val="00442F58"/>
    <w:rsid w:val="00445231"/>
    <w:rsid w:val="00446207"/>
    <w:rsid w:val="004479A8"/>
    <w:rsid w:val="00450B7A"/>
    <w:rsid w:val="00451783"/>
    <w:rsid w:val="00454531"/>
    <w:rsid w:val="00460431"/>
    <w:rsid w:val="00462A55"/>
    <w:rsid w:val="00462A66"/>
    <w:rsid w:val="00467034"/>
    <w:rsid w:val="004729D7"/>
    <w:rsid w:val="00477465"/>
    <w:rsid w:val="00477BF8"/>
    <w:rsid w:val="00481D8C"/>
    <w:rsid w:val="00482357"/>
    <w:rsid w:val="00482680"/>
    <w:rsid w:val="0048602A"/>
    <w:rsid w:val="0048681B"/>
    <w:rsid w:val="004A151A"/>
    <w:rsid w:val="004A2991"/>
    <w:rsid w:val="004B195E"/>
    <w:rsid w:val="004B521F"/>
    <w:rsid w:val="004B58B1"/>
    <w:rsid w:val="004B62D2"/>
    <w:rsid w:val="004C403E"/>
    <w:rsid w:val="004C4543"/>
    <w:rsid w:val="004C6DFB"/>
    <w:rsid w:val="004C6E40"/>
    <w:rsid w:val="004D02C5"/>
    <w:rsid w:val="004D4B7F"/>
    <w:rsid w:val="004D6369"/>
    <w:rsid w:val="004E01C6"/>
    <w:rsid w:val="004E2878"/>
    <w:rsid w:val="004E2B5F"/>
    <w:rsid w:val="004E525D"/>
    <w:rsid w:val="004F1706"/>
    <w:rsid w:val="004F1A24"/>
    <w:rsid w:val="004F77B1"/>
    <w:rsid w:val="00500BB2"/>
    <w:rsid w:val="005011CF"/>
    <w:rsid w:val="00510CD0"/>
    <w:rsid w:val="00513272"/>
    <w:rsid w:val="005154F5"/>
    <w:rsid w:val="0051694A"/>
    <w:rsid w:val="00520A8C"/>
    <w:rsid w:val="00522046"/>
    <w:rsid w:val="005223A2"/>
    <w:rsid w:val="00523CC3"/>
    <w:rsid w:val="005269BF"/>
    <w:rsid w:val="00526C68"/>
    <w:rsid w:val="0053035B"/>
    <w:rsid w:val="00530B87"/>
    <w:rsid w:val="0053503B"/>
    <w:rsid w:val="00535FA6"/>
    <w:rsid w:val="00537690"/>
    <w:rsid w:val="00540B57"/>
    <w:rsid w:val="00543A6E"/>
    <w:rsid w:val="0054628E"/>
    <w:rsid w:val="00546FBC"/>
    <w:rsid w:val="005550D6"/>
    <w:rsid w:val="00557D09"/>
    <w:rsid w:val="00565E97"/>
    <w:rsid w:val="0056755F"/>
    <w:rsid w:val="005720DF"/>
    <w:rsid w:val="00574946"/>
    <w:rsid w:val="0057626E"/>
    <w:rsid w:val="005818CC"/>
    <w:rsid w:val="00587866"/>
    <w:rsid w:val="00590627"/>
    <w:rsid w:val="00594D99"/>
    <w:rsid w:val="00596C94"/>
    <w:rsid w:val="00597A7E"/>
    <w:rsid w:val="005A2633"/>
    <w:rsid w:val="005A2AF8"/>
    <w:rsid w:val="005A33C1"/>
    <w:rsid w:val="005A6B94"/>
    <w:rsid w:val="005A7032"/>
    <w:rsid w:val="005B6EE2"/>
    <w:rsid w:val="005B7A3C"/>
    <w:rsid w:val="005B7EC5"/>
    <w:rsid w:val="005C17B4"/>
    <w:rsid w:val="005C2B1B"/>
    <w:rsid w:val="005C49F1"/>
    <w:rsid w:val="005D3534"/>
    <w:rsid w:val="005D5276"/>
    <w:rsid w:val="005D67EC"/>
    <w:rsid w:val="005E2916"/>
    <w:rsid w:val="005E3192"/>
    <w:rsid w:val="005E446F"/>
    <w:rsid w:val="005E5C8A"/>
    <w:rsid w:val="005F184D"/>
    <w:rsid w:val="005F257C"/>
    <w:rsid w:val="005F3876"/>
    <w:rsid w:val="005F3E57"/>
    <w:rsid w:val="00601CC1"/>
    <w:rsid w:val="0060505A"/>
    <w:rsid w:val="0061039B"/>
    <w:rsid w:val="006119C7"/>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0916"/>
    <w:rsid w:val="00640A37"/>
    <w:rsid w:val="0064149F"/>
    <w:rsid w:val="0064239B"/>
    <w:rsid w:val="006455B4"/>
    <w:rsid w:val="00646657"/>
    <w:rsid w:val="00661167"/>
    <w:rsid w:val="00662EE1"/>
    <w:rsid w:val="006639F5"/>
    <w:rsid w:val="00664FA0"/>
    <w:rsid w:val="00667531"/>
    <w:rsid w:val="00672753"/>
    <w:rsid w:val="0067367E"/>
    <w:rsid w:val="00676D9C"/>
    <w:rsid w:val="0067727E"/>
    <w:rsid w:val="006818AF"/>
    <w:rsid w:val="006829C1"/>
    <w:rsid w:val="00683147"/>
    <w:rsid w:val="00686A14"/>
    <w:rsid w:val="00686AB5"/>
    <w:rsid w:val="00692041"/>
    <w:rsid w:val="0069350D"/>
    <w:rsid w:val="00693C9D"/>
    <w:rsid w:val="00694301"/>
    <w:rsid w:val="0069569E"/>
    <w:rsid w:val="006958E3"/>
    <w:rsid w:val="00695961"/>
    <w:rsid w:val="00695F66"/>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D2440"/>
    <w:rsid w:val="006D7AB5"/>
    <w:rsid w:val="006E0E41"/>
    <w:rsid w:val="006E444B"/>
    <w:rsid w:val="006E460A"/>
    <w:rsid w:val="006F0CEB"/>
    <w:rsid w:val="006F2CE7"/>
    <w:rsid w:val="006F39FB"/>
    <w:rsid w:val="006F4AD8"/>
    <w:rsid w:val="006F7471"/>
    <w:rsid w:val="006F76EC"/>
    <w:rsid w:val="0070135C"/>
    <w:rsid w:val="00702EF2"/>
    <w:rsid w:val="00704A76"/>
    <w:rsid w:val="00705DA4"/>
    <w:rsid w:val="00715C87"/>
    <w:rsid w:val="00716EB6"/>
    <w:rsid w:val="00721008"/>
    <w:rsid w:val="00721F16"/>
    <w:rsid w:val="00731CBC"/>
    <w:rsid w:val="007320B1"/>
    <w:rsid w:val="007336A1"/>
    <w:rsid w:val="0073487D"/>
    <w:rsid w:val="007406D3"/>
    <w:rsid w:val="007410B3"/>
    <w:rsid w:val="007424CA"/>
    <w:rsid w:val="00745B53"/>
    <w:rsid w:val="00747920"/>
    <w:rsid w:val="0075169D"/>
    <w:rsid w:val="00761E21"/>
    <w:rsid w:val="00764440"/>
    <w:rsid w:val="007716F7"/>
    <w:rsid w:val="007716FE"/>
    <w:rsid w:val="00771956"/>
    <w:rsid w:val="00774D3C"/>
    <w:rsid w:val="00775AA8"/>
    <w:rsid w:val="007767F7"/>
    <w:rsid w:val="00776B90"/>
    <w:rsid w:val="00777EB9"/>
    <w:rsid w:val="00777F65"/>
    <w:rsid w:val="0078293B"/>
    <w:rsid w:val="00783293"/>
    <w:rsid w:val="00784676"/>
    <w:rsid w:val="00790AA4"/>
    <w:rsid w:val="007935B8"/>
    <w:rsid w:val="00796F61"/>
    <w:rsid w:val="007A1FC5"/>
    <w:rsid w:val="007A6399"/>
    <w:rsid w:val="007A63DB"/>
    <w:rsid w:val="007A70E4"/>
    <w:rsid w:val="007B0CED"/>
    <w:rsid w:val="007B160E"/>
    <w:rsid w:val="007B209D"/>
    <w:rsid w:val="007B5575"/>
    <w:rsid w:val="007C1399"/>
    <w:rsid w:val="007C408B"/>
    <w:rsid w:val="007C72A2"/>
    <w:rsid w:val="007D1F3C"/>
    <w:rsid w:val="007D33D7"/>
    <w:rsid w:val="007D3BFA"/>
    <w:rsid w:val="007D4F1F"/>
    <w:rsid w:val="007D5EE3"/>
    <w:rsid w:val="007D7ED2"/>
    <w:rsid w:val="007E050E"/>
    <w:rsid w:val="007E1CD8"/>
    <w:rsid w:val="007E508B"/>
    <w:rsid w:val="007F0E87"/>
    <w:rsid w:val="007F1F57"/>
    <w:rsid w:val="007F4933"/>
    <w:rsid w:val="008026B9"/>
    <w:rsid w:val="00804087"/>
    <w:rsid w:val="00810468"/>
    <w:rsid w:val="0081057F"/>
    <w:rsid w:val="008135D3"/>
    <w:rsid w:val="00813675"/>
    <w:rsid w:val="00815BD9"/>
    <w:rsid w:val="0081777B"/>
    <w:rsid w:val="00823B34"/>
    <w:rsid w:val="00824915"/>
    <w:rsid w:val="0082535A"/>
    <w:rsid w:val="00826C89"/>
    <w:rsid w:val="008278E3"/>
    <w:rsid w:val="00830FB6"/>
    <w:rsid w:val="00832054"/>
    <w:rsid w:val="0083213B"/>
    <w:rsid w:val="0084256A"/>
    <w:rsid w:val="00846FAE"/>
    <w:rsid w:val="00851ACC"/>
    <w:rsid w:val="00851B9F"/>
    <w:rsid w:val="00852FF2"/>
    <w:rsid w:val="00854920"/>
    <w:rsid w:val="008601BE"/>
    <w:rsid w:val="00862012"/>
    <w:rsid w:val="00870A5A"/>
    <w:rsid w:val="008724E1"/>
    <w:rsid w:val="00881949"/>
    <w:rsid w:val="0088228A"/>
    <w:rsid w:val="00884504"/>
    <w:rsid w:val="00884B35"/>
    <w:rsid w:val="008864F9"/>
    <w:rsid w:val="00893189"/>
    <w:rsid w:val="00897BE3"/>
    <w:rsid w:val="008A05DA"/>
    <w:rsid w:val="008A09DF"/>
    <w:rsid w:val="008B3DE9"/>
    <w:rsid w:val="008B5CB7"/>
    <w:rsid w:val="008B5EC1"/>
    <w:rsid w:val="008C0CEB"/>
    <w:rsid w:val="008C170D"/>
    <w:rsid w:val="008C2F26"/>
    <w:rsid w:val="008C3167"/>
    <w:rsid w:val="008C353F"/>
    <w:rsid w:val="008C4A78"/>
    <w:rsid w:val="008C5A0F"/>
    <w:rsid w:val="008C6B7E"/>
    <w:rsid w:val="008D1BD4"/>
    <w:rsid w:val="008D37F9"/>
    <w:rsid w:val="008D4322"/>
    <w:rsid w:val="008D564F"/>
    <w:rsid w:val="008E042D"/>
    <w:rsid w:val="008E0430"/>
    <w:rsid w:val="008F0142"/>
    <w:rsid w:val="008F0CEC"/>
    <w:rsid w:val="008F4C88"/>
    <w:rsid w:val="008F758C"/>
    <w:rsid w:val="00900A4B"/>
    <w:rsid w:val="00901841"/>
    <w:rsid w:val="00901FC7"/>
    <w:rsid w:val="00911216"/>
    <w:rsid w:val="009155C6"/>
    <w:rsid w:val="00926B9F"/>
    <w:rsid w:val="009311F2"/>
    <w:rsid w:val="00932F5B"/>
    <w:rsid w:val="00945E5E"/>
    <w:rsid w:val="00947122"/>
    <w:rsid w:val="0095725C"/>
    <w:rsid w:val="0096129E"/>
    <w:rsid w:val="00966DA8"/>
    <w:rsid w:val="00967974"/>
    <w:rsid w:val="00967A67"/>
    <w:rsid w:val="009743FF"/>
    <w:rsid w:val="009772DA"/>
    <w:rsid w:val="0098285E"/>
    <w:rsid w:val="009835C3"/>
    <w:rsid w:val="0098477F"/>
    <w:rsid w:val="00985969"/>
    <w:rsid w:val="00991F93"/>
    <w:rsid w:val="00993D09"/>
    <w:rsid w:val="009A0861"/>
    <w:rsid w:val="009A0B95"/>
    <w:rsid w:val="009A4255"/>
    <w:rsid w:val="009A5879"/>
    <w:rsid w:val="009A5E31"/>
    <w:rsid w:val="009B0B89"/>
    <w:rsid w:val="009B2F9A"/>
    <w:rsid w:val="009B3541"/>
    <w:rsid w:val="009B3621"/>
    <w:rsid w:val="009B43BB"/>
    <w:rsid w:val="009B4F94"/>
    <w:rsid w:val="009B5118"/>
    <w:rsid w:val="009B6F40"/>
    <w:rsid w:val="009C08BF"/>
    <w:rsid w:val="009C1D43"/>
    <w:rsid w:val="009C3DDE"/>
    <w:rsid w:val="009C6274"/>
    <w:rsid w:val="009C7C1C"/>
    <w:rsid w:val="009D1372"/>
    <w:rsid w:val="009D4E04"/>
    <w:rsid w:val="009D553B"/>
    <w:rsid w:val="009D6C0B"/>
    <w:rsid w:val="009E087E"/>
    <w:rsid w:val="009E13EE"/>
    <w:rsid w:val="009E2398"/>
    <w:rsid w:val="009F573A"/>
    <w:rsid w:val="009F68D0"/>
    <w:rsid w:val="009F6CB7"/>
    <w:rsid w:val="00A07EAC"/>
    <w:rsid w:val="00A133C5"/>
    <w:rsid w:val="00A13C85"/>
    <w:rsid w:val="00A14D0E"/>
    <w:rsid w:val="00A200B8"/>
    <w:rsid w:val="00A21A41"/>
    <w:rsid w:val="00A2204C"/>
    <w:rsid w:val="00A228E9"/>
    <w:rsid w:val="00A24D24"/>
    <w:rsid w:val="00A2660F"/>
    <w:rsid w:val="00A2666C"/>
    <w:rsid w:val="00A36E33"/>
    <w:rsid w:val="00A40560"/>
    <w:rsid w:val="00A44DD3"/>
    <w:rsid w:val="00A46571"/>
    <w:rsid w:val="00A557F4"/>
    <w:rsid w:val="00A55960"/>
    <w:rsid w:val="00A56171"/>
    <w:rsid w:val="00A56CED"/>
    <w:rsid w:val="00A62590"/>
    <w:rsid w:val="00A63EDE"/>
    <w:rsid w:val="00A64997"/>
    <w:rsid w:val="00A65114"/>
    <w:rsid w:val="00A65E92"/>
    <w:rsid w:val="00A7434C"/>
    <w:rsid w:val="00A7463C"/>
    <w:rsid w:val="00A748CD"/>
    <w:rsid w:val="00A80E4B"/>
    <w:rsid w:val="00A81870"/>
    <w:rsid w:val="00A939E6"/>
    <w:rsid w:val="00A97C54"/>
    <w:rsid w:val="00AA11F7"/>
    <w:rsid w:val="00AA2660"/>
    <w:rsid w:val="00AA47E5"/>
    <w:rsid w:val="00AA7157"/>
    <w:rsid w:val="00AB05CE"/>
    <w:rsid w:val="00AB372D"/>
    <w:rsid w:val="00AC015B"/>
    <w:rsid w:val="00AC301D"/>
    <w:rsid w:val="00AC66BD"/>
    <w:rsid w:val="00AD001B"/>
    <w:rsid w:val="00AD119C"/>
    <w:rsid w:val="00AD1782"/>
    <w:rsid w:val="00AF3275"/>
    <w:rsid w:val="00B00932"/>
    <w:rsid w:val="00B02210"/>
    <w:rsid w:val="00B02818"/>
    <w:rsid w:val="00B066BB"/>
    <w:rsid w:val="00B11BCF"/>
    <w:rsid w:val="00B20947"/>
    <w:rsid w:val="00B216B5"/>
    <w:rsid w:val="00B21C96"/>
    <w:rsid w:val="00B2221C"/>
    <w:rsid w:val="00B22931"/>
    <w:rsid w:val="00B2628E"/>
    <w:rsid w:val="00B34246"/>
    <w:rsid w:val="00B43C3F"/>
    <w:rsid w:val="00B45810"/>
    <w:rsid w:val="00B46656"/>
    <w:rsid w:val="00B51836"/>
    <w:rsid w:val="00B52983"/>
    <w:rsid w:val="00B540E9"/>
    <w:rsid w:val="00B544ED"/>
    <w:rsid w:val="00B575A4"/>
    <w:rsid w:val="00B6518F"/>
    <w:rsid w:val="00B65287"/>
    <w:rsid w:val="00B66739"/>
    <w:rsid w:val="00B72AD5"/>
    <w:rsid w:val="00B7689C"/>
    <w:rsid w:val="00B806AD"/>
    <w:rsid w:val="00B82241"/>
    <w:rsid w:val="00B829C3"/>
    <w:rsid w:val="00B82D7D"/>
    <w:rsid w:val="00B849E1"/>
    <w:rsid w:val="00B8518F"/>
    <w:rsid w:val="00B851F8"/>
    <w:rsid w:val="00B917C3"/>
    <w:rsid w:val="00B9223E"/>
    <w:rsid w:val="00B9342A"/>
    <w:rsid w:val="00B946FC"/>
    <w:rsid w:val="00B948C7"/>
    <w:rsid w:val="00B95D71"/>
    <w:rsid w:val="00B96118"/>
    <w:rsid w:val="00BA14AD"/>
    <w:rsid w:val="00BA56D5"/>
    <w:rsid w:val="00BB1938"/>
    <w:rsid w:val="00BB2712"/>
    <w:rsid w:val="00BB5E58"/>
    <w:rsid w:val="00BC6C14"/>
    <w:rsid w:val="00BD0670"/>
    <w:rsid w:val="00BD201C"/>
    <w:rsid w:val="00BD2DD2"/>
    <w:rsid w:val="00BD334D"/>
    <w:rsid w:val="00BD66E3"/>
    <w:rsid w:val="00BE08F7"/>
    <w:rsid w:val="00BE3828"/>
    <w:rsid w:val="00BE3FE1"/>
    <w:rsid w:val="00BF179F"/>
    <w:rsid w:val="00BF3441"/>
    <w:rsid w:val="00BF3704"/>
    <w:rsid w:val="00BF77DE"/>
    <w:rsid w:val="00C06107"/>
    <w:rsid w:val="00C07111"/>
    <w:rsid w:val="00C14E5C"/>
    <w:rsid w:val="00C16DED"/>
    <w:rsid w:val="00C17010"/>
    <w:rsid w:val="00C2005A"/>
    <w:rsid w:val="00C20347"/>
    <w:rsid w:val="00C2514D"/>
    <w:rsid w:val="00C30314"/>
    <w:rsid w:val="00C30D2E"/>
    <w:rsid w:val="00C376DD"/>
    <w:rsid w:val="00C4124A"/>
    <w:rsid w:val="00C41664"/>
    <w:rsid w:val="00C42501"/>
    <w:rsid w:val="00C43106"/>
    <w:rsid w:val="00C4344A"/>
    <w:rsid w:val="00C434ED"/>
    <w:rsid w:val="00C55C96"/>
    <w:rsid w:val="00C565E0"/>
    <w:rsid w:val="00C57936"/>
    <w:rsid w:val="00C61701"/>
    <w:rsid w:val="00C63D32"/>
    <w:rsid w:val="00C6454D"/>
    <w:rsid w:val="00C720C6"/>
    <w:rsid w:val="00C830A3"/>
    <w:rsid w:val="00C90A37"/>
    <w:rsid w:val="00C932D4"/>
    <w:rsid w:val="00CA1238"/>
    <w:rsid w:val="00CA5F5D"/>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2CD9"/>
    <w:rsid w:val="00D134F0"/>
    <w:rsid w:val="00D137EA"/>
    <w:rsid w:val="00D138FA"/>
    <w:rsid w:val="00D16C54"/>
    <w:rsid w:val="00D20916"/>
    <w:rsid w:val="00D24A14"/>
    <w:rsid w:val="00D27BD5"/>
    <w:rsid w:val="00D27F07"/>
    <w:rsid w:val="00D30990"/>
    <w:rsid w:val="00D32A8B"/>
    <w:rsid w:val="00D351F6"/>
    <w:rsid w:val="00D37B9D"/>
    <w:rsid w:val="00D45BF2"/>
    <w:rsid w:val="00D45CA1"/>
    <w:rsid w:val="00D4748B"/>
    <w:rsid w:val="00D47733"/>
    <w:rsid w:val="00D53716"/>
    <w:rsid w:val="00D553FB"/>
    <w:rsid w:val="00D55ABC"/>
    <w:rsid w:val="00D62B82"/>
    <w:rsid w:val="00D62BE9"/>
    <w:rsid w:val="00D70621"/>
    <w:rsid w:val="00D707A1"/>
    <w:rsid w:val="00D71CC8"/>
    <w:rsid w:val="00D73D5C"/>
    <w:rsid w:val="00D808D2"/>
    <w:rsid w:val="00D82F88"/>
    <w:rsid w:val="00D947D6"/>
    <w:rsid w:val="00D960EC"/>
    <w:rsid w:val="00DA085A"/>
    <w:rsid w:val="00DA2E31"/>
    <w:rsid w:val="00DA60C9"/>
    <w:rsid w:val="00DB79EE"/>
    <w:rsid w:val="00DB7A49"/>
    <w:rsid w:val="00DC2780"/>
    <w:rsid w:val="00DF311C"/>
    <w:rsid w:val="00DF4496"/>
    <w:rsid w:val="00E02279"/>
    <w:rsid w:val="00E067BF"/>
    <w:rsid w:val="00E116D5"/>
    <w:rsid w:val="00E11D82"/>
    <w:rsid w:val="00E144C8"/>
    <w:rsid w:val="00E17276"/>
    <w:rsid w:val="00E27A3B"/>
    <w:rsid w:val="00E3041A"/>
    <w:rsid w:val="00E33E62"/>
    <w:rsid w:val="00E34560"/>
    <w:rsid w:val="00E4715A"/>
    <w:rsid w:val="00E51683"/>
    <w:rsid w:val="00E54F84"/>
    <w:rsid w:val="00E613B2"/>
    <w:rsid w:val="00E61887"/>
    <w:rsid w:val="00E7093D"/>
    <w:rsid w:val="00E70D98"/>
    <w:rsid w:val="00E71018"/>
    <w:rsid w:val="00E71BD7"/>
    <w:rsid w:val="00E72735"/>
    <w:rsid w:val="00E72EA3"/>
    <w:rsid w:val="00E741BF"/>
    <w:rsid w:val="00E74344"/>
    <w:rsid w:val="00E7776F"/>
    <w:rsid w:val="00E84B66"/>
    <w:rsid w:val="00E86D42"/>
    <w:rsid w:val="00E90AA0"/>
    <w:rsid w:val="00E92556"/>
    <w:rsid w:val="00EA2C04"/>
    <w:rsid w:val="00EA448E"/>
    <w:rsid w:val="00EA78A0"/>
    <w:rsid w:val="00EB2D86"/>
    <w:rsid w:val="00EB48FF"/>
    <w:rsid w:val="00EC1DD3"/>
    <w:rsid w:val="00EC2BF3"/>
    <w:rsid w:val="00EC4D39"/>
    <w:rsid w:val="00EC52A3"/>
    <w:rsid w:val="00EC6744"/>
    <w:rsid w:val="00ED2187"/>
    <w:rsid w:val="00ED57EA"/>
    <w:rsid w:val="00ED7067"/>
    <w:rsid w:val="00EE10DB"/>
    <w:rsid w:val="00EE1FFF"/>
    <w:rsid w:val="00EE28E0"/>
    <w:rsid w:val="00EE2F34"/>
    <w:rsid w:val="00EE4EE5"/>
    <w:rsid w:val="00EE7881"/>
    <w:rsid w:val="00EE7935"/>
    <w:rsid w:val="00EE7DE5"/>
    <w:rsid w:val="00EF08B9"/>
    <w:rsid w:val="00EF3553"/>
    <w:rsid w:val="00EF4224"/>
    <w:rsid w:val="00F00716"/>
    <w:rsid w:val="00F037AA"/>
    <w:rsid w:val="00F07931"/>
    <w:rsid w:val="00F236BF"/>
    <w:rsid w:val="00F316E5"/>
    <w:rsid w:val="00F44D55"/>
    <w:rsid w:val="00F44E31"/>
    <w:rsid w:val="00F46902"/>
    <w:rsid w:val="00F53407"/>
    <w:rsid w:val="00F53C9D"/>
    <w:rsid w:val="00F5560F"/>
    <w:rsid w:val="00F55BFE"/>
    <w:rsid w:val="00F56925"/>
    <w:rsid w:val="00F63A64"/>
    <w:rsid w:val="00F667FB"/>
    <w:rsid w:val="00F74DA8"/>
    <w:rsid w:val="00F74F8D"/>
    <w:rsid w:val="00F779C8"/>
    <w:rsid w:val="00F80363"/>
    <w:rsid w:val="00F8208A"/>
    <w:rsid w:val="00F828F8"/>
    <w:rsid w:val="00F8655F"/>
    <w:rsid w:val="00F87B66"/>
    <w:rsid w:val="00F9039D"/>
    <w:rsid w:val="00F91BD0"/>
    <w:rsid w:val="00FA06BA"/>
    <w:rsid w:val="00FA3060"/>
    <w:rsid w:val="00FA3C00"/>
    <w:rsid w:val="00FA6823"/>
    <w:rsid w:val="00FA7940"/>
    <w:rsid w:val="00FB656E"/>
    <w:rsid w:val="00FC0E2D"/>
    <w:rsid w:val="00FC2638"/>
    <w:rsid w:val="00FC2E2A"/>
    <w:rsid w:val="00FC77FC"/>
    <w:rsid w:val="00FD00A9"/>
    <w:rsid w:val="00FD72A3"/>
    <w:rsid w:val="00FD77B0"/>
    <w:rsid w:val="00FE1F9F"/>
    <w:rsid w:val="00FE20E5"/>
    <w:rsid w:val="00FE3F49"/>
    <w:rsid w:val="00FE5A97"/>
    <w:rsid w:val="00FF02E2"/>
    <w:rsid w:val="00FF0DB8"/>
    <w:rsid w:val="00FF2527"/>
    <w:rsid w:val="00FF39F9"/>
    <w:rsid w:val="00FF3CB0"/>
    <w:rsid w:val="07285EBB"/>
    <w:rsid w:val="16C5EA17"/>
    <w:rsid w:val="2034302C"/>
    <w:rsid w:val="25FEEFBC"/>
    <w:rsid w:val="358A3421"/>
    <w:rsid w:val="36FC0B6D"/>
    <w:rsid w:val="383F5AB6"/>
    <w:rsid w:val="42417144"/>
    <w:rsid w:val="55DA6D24"/>
    <w:rsid w:val="5D78B5C8"/>
    <w:rsid w:val="5F11CF29"/>
    <w:rsid w:val="5FF12D75"/>
    <w:rsid w:val="64F0D51D"/>
    <w:rsid w:val="65050E2D"/>
    <w:rsid w:val="71096140"/>
    <w:rsid w:val="713A9324"/>
    <w:rsid w:val="7718A1A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63"/>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F80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2016">
      <w:bodyDiv w:val="1"/>
      <w:marLeft w:val="0"/>
      <w:marRight w:val="0"/>
      <w:marTop w:val="0"/>
      <w:marBottom w:val="0"/>
      <w:divBdr>
        <w:top w:val="none" w:sz="0" w:space="0" w:color="auto"/>
        <w:left w:val="none" w:sz="0" w:space="0" w:color="auto"/>
        <w:bottom w:val="none" w:sz="0" w:space="0" w:color="auto"/>
        <w:right w:val="none" w:sz="0" w:space="0" w:color="auto"/>
      </w:divBdr>
    </w:div>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539124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127045719">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02484151">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621834597">
      <w:bodyDiv w:val="1"/>
      <w:marLeft w:val="0"/>
      <w:marRight w:val="0"/>
      <w:marTop w:val="0"/>
      <w:marBottom w:val="0"/>
      <w:divBdr>
        <w:top w:val="none" w:sz="0" w:space="0" w:color="auto"/>
        <w:left w:val="none" w:sz="0" w:space="0" w:color="auto"/>
        <w:bottom w:val="none" w:sz="0" w:space="0" w:color="auto"/>
        <w:right w:val="none" w:sz="0" w:space="0" w:color="auto"/>
      </w:divBdr>
      <w:divsChild>
        <w:div w:id="1969966121">
          <w:marLeft w:val="0"/>
          <w:marRight w:val="0"/>
          <w:marTop w:val="0"/>
          <w:marBottom w:val="0"/>
          <w:divBdr>
            <w:top w:val="none" w:sz="0" w:space="0" w:color="auto"/>
            <w:left w:val="none" w:sz="0" w:space="0" w:color="auto"/>
            <w:bottom w:val="none" w:sz="0" w:space="0" w:color="auto"/>
            <w:right w:val="none" w:sz="0" w:space="0" w:color="auto"/>
          </w:divBdr>
          <w:divsChild>
            <w:div w:id="1834832494">
              <w:marLeft w:val="0"/>
              <w:marRight w:val="0"/>
              <w:marTop w:val="0"/>
              <w:marBottom w:val="0"/>
              <w:divBdr>
                <w:top w:val="none" w:sz="0" w:space="0" w:color="auto"/>
                <w:left w:val="none" w:sz="0" w:space="0" w:color="auto"/>
                <w:bottom w:val="none" w:sz="0" w:space="0" w:color="auto"/>
                <w:right w:val="none" w:sz="0" w:space="0" w:color="auto"/>
              </w:divBdr>
            </w:div>
          </w:divsChild>
        </w:div>
        <w:div w:id="1850216368">
          <w:marLeft w:val="0"/>
          <w:marRight w:val="0"/>
          <w:marTop w:val="120"/>
          <w:marBottom w:val="0"/>
          <w:divBdr>
            <w:top w:val="none" w:sz="0" w:space="0" w:color="auto"/>
            <w:left w:val="none" w:sz="0" w:space="0" w:color="auto"/>
            <w:bottom w:val="none" w:sz="0" w:space="0" w:color="auto"/>
            <w:right w:val="none" w:sz="0" w:space="0" w:color="auto"/>
          </w:divBdr>
          <w:divsChild>
            <w:div w:id="1380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 w:id="184269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9cfaf8-949c-4b8f-9b07-8c0143bbc5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A20907A1FFF4B97E3115710375E0A" ma:contentTypeVersion="16" ma:contentTypeDescription="Create a new document." ma:contentTypeScope="" ma:versionID="dc34d631c9cf86f93399c55d1768013a">
  <xsd:schema xmlns:xsd="http://www.w3.org/2001/XMLSchema" xmlns:xs="http://www.w3.org/2001/XMLSchema" xmlns:p="http://schemas.microsoft.com/office/2006/metadata/properties" xmlns:ns3="59d74721-64aa-4a7d-bac1-8e5c756c4921" xmlns:ns4="df9cfaf8-949c-4b8f-9b07-8c0143bbc551" targetNamespace="http://schemas.microsoft.com/office/2006/metadata/properties" ma:root="true" ma:fieldsID="316f86bc2f43b6ef3e182ac5e3eda067" ns3:_="" ns4:_="">
    <xsd:import namespace="59d74721-64aa-4a7d-bac1-8e5c756c4921"/>
    <xsd:import namespace="df9cfaf8-949c-4b8f-9b07-8c0143bbc55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ServiceSystemTags" minOccurs="0"/>
                <xsd:element ref="ns4:MediaServiceSearchProperties"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74721-64aa-4a7d-bac1-8e5c756c49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9cfaf8-949c-4b8f-9b07-8c0143bbc5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11DC8-47D4-45E3-A831-BE4C4A92B33B}">
  <ds:schemaRefs>
    <ds:schemaRef ds:uri="http://schemas.microsoft.com/office/2006/metadata/properties"/>
    <ds:schemaRef ds:uri="http://schemas.microsoft.com/office/infopath/2007/PartnerControls"/>
    <ds:schemaRef ds:uri="df9cfaf8-949c-4b8f-9b07-8c0143bbc551"/>
  </ds:schemaRefs>
</ds:datastoreItem>
</file>

<file path=customXml/itemProps2.xml><?xml version="1.0" encoding="utf-8"?>
<ds:datastoreItem xmlns:ds="http://schemas.openxmlformats.org/officeDocument/2006/customXml" ds:itemID="{11EB8B7A-B634-4E3C-A014-45EDB980CA3B}">
  <ds:schemaRefs>
    <ds:schemaRef ds:uri="http://schemas.microsoft.com/sharepoint/v3/contenttype/forms"/>
  </ds:schemaRefs>
</ds:datastoreItem>
</file>

<file path=customXml/itemProps3.xml><?xml version="1.0" encoding="utf-8"?>
<ds:datastoreItem xmlns:ds="http://schemas.openxmlformats.org/officeDocument/2006/customXml" ds:itemID="{75C830F4-A918-4961-B05E-AD4D07006E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74721-64aa-4a7d-bac1-8e5c756c4921"/>
    <ds:schemaRef ds:uri="df9cfaf8-949c-4b8f-9b07-8c0143bb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1B1A0-8215-4C6D-9DAE-BFA3E5AEE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Kathryn Collinson</cp:lastModifiedBy>
  <cp:revision>3</cp:revision>
  <cp:lastPrinted>2026-04-16T10:21:00Z</cp:lastPrinted>
  <dcterms:created xsi:type="dcterms:W3CDTF">2026-04-16T10:21:00Z</dcterms:created>
  <dcterms:modified xsi:type="dcterms:W3CDTF">2026-04-16T10:21:00Z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0x01010066DA20907A1FFF4B97E3115710375E0A</vt:lpwstr>
  </property>
</Properties>
</file>