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25999" w14:textId="7AB87CED" w:rsidR="00237E71" w:rsidRDefault="007B0CED" w:rsidP="00237E71">
      <w:pPr>
        <w:pStyle w:val="Heading1"/>
      </w:pPr>
      <w:r>
        <w:t>Disabled people</w:t>
      </w:r>
      <w:r w:rsidR="00E74344">
        <w:t xml:space="preserve"> must be presumed to</w:t>
      </w:r>
      <w:r w:rsidR="00900A4B">
        <w:t xml:space="preserve"> </w:t>
      </w:r>
      <w:r w:rsidR="00E74344">
        <w:t>have the capacity to make our own decisio</w:t>
      </w:r>
      <w:r>
        <w:t>ns</w:t>
      </w:r>
      <w:r w:rsidR="00900A4B">
        <w:t>.</w:t>
      </w:r>
    </w:p>
    <w:p w14:paraId="5A4D7416" w14:textId="59304AD5" w:rsidR="00A97C54" w:rsidRDefault="00A97C54" w:rsidP="00A97C54">
      <w:r>
        <w:rPr>
          <w:noProof/>
        </w:rPr>
        <w:drawing>
          <wp:inline distT="0" distB="0" distL="0" distR="0" wp14:anchorId="7FB78AC7" wp14:editId="7BA4D904">
            <wp:extent cx="6192520" cy="6192520"/>
            <wp:effectExtent l="19050" t="19050" r="17780" b="17780"/>
            <wp:docPr id="2" name="Picture 2" descr="Graphic titled “All Disabled and non-disabled people must be presumed to have the capacity to make our own decisions” &#10;&#10;Whether we’re choosing extreme adventures... or simply making everyday trips . &#10;&#10;Above the “extreme adventures” example on left is a cartoon of a snow-topped mountain with four little stick figures climbing it on a rope. Two of the figures are not visibly Disabled. One is using an off-road wheelchair trike. One has one leg and is using a stick or crutch.  &#10;&#10;Above the “everyday trips” example are lots of people using mobility aids – left to right, an adult walking with an e-assist rollator, with an adult using an e-converted wheelchair who is towing luggage. A child riding a bike is with a child using a powerchair. An adult using a powerchair has a pram clipped to the front. An adult using a mobility scooter is accompanying a young child. &#10;&#10;At the bottom, the caveat – “for people aged over 16, unless it is established that an individual lacks capacity (Mental Capacity Act 2005)”. Hashtag MobilityJustice and the Wheels for Wellbeing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ndem scooters 0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619252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CB3AD70" w14:textId="61FA071C" w:rsidR="00E109C8" w:rsidRPr="00A97C54" w:rsidRDefault="00E109C8" w:rsidP="00A97C54">
      <w:r w:rsidRPr="00E109C8">
        <w:t>WfW are not legal experts and we do not provide legal advice This document is</w:t>
      </w:r>
      <w:r>
        <w:t xml:space="preserve"> for</w:t>
      </w:r>
      <w:r w:rsidRPr="00E109C8">
        <w:t xml:space="preserve"> information only and </w:t>
      </w:r>
      <w:r>
        <w:t xml:space="preserve">must not be regarded as </w:t>
      </w:r>
      <w:r w:rsidRPr="00E109C8">
        <w:t>legal advice. Readers are solely responsible for any use they make of this information.</w:t>
      </w:r>
    </w:p>
    <w:p w14:paraId="04E9CE32" w14:textId="63EE7FF3" w:rsidR="006958E3" w:rsidRDefault="00E74344" w:rsidP="00237E71">
      <w:pPr>
        <w:pStyle w:val="Heading2"/>
        <w:rPr>
          <w:lang w:val="en-US"/>
        </w:rPr>
      </w:pPr>
      <w:r>
        <w:t>Wh</w:t>
      </w:r>
      <w:r w:rsidR="00911216">
        <w:t>at is “mental capacity” – and why does it matter</w:t>
      </w:r>
      <w:r w:rsidR="00D947D6">
        <w:t xml:space="preserve"> for mobility</w:t>
      </w:r>
      <w:r w:rsidR="00911216">
        <w:t>?</w:t>
      </w:r>
    </w:p>
    <w:p w14:paraId="42102933" w14:textId="77777777" w:rsidR="003F5641" w:rsidRDefault="004C4543" w:rsidP="00FC0E2D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When we say a person has mental capacity, we mean they are able to make decisions</w:t>
      </w:r>
      <w:r w:rsidR="004B58B1">
        <w:rPr>
          <w:rFonts w:ascii="Arial" w:hAnsi="Arial" w:cs="Arial"/>
          <w:bCs/>
          <w:color w:val="000000"/>
        </w:rPr>
        <w:t>.</w:t>
      </w:r>
    </w:p>
    <w:p w14:paraId="4C0BA478" w14:textId="19F75F4F" w:rsidR="003866BF" w:rsidRPr="003866BF" w:rsidRDefault="003866BF" w:rsidP="00FC0E2D">
      <w:pPr>
        <w:rPr>
          <w:rFonts w:ascii="Arial" w:hAnsi="Arial" w:cs="Arial"/>
          <w:b/>
          <w:bCs/>
          <w:color w:val="000000"/>
        </w:rPr>
      </w:pPr>
      <w:r w:rsidRPr="003866BF">
        <w:rPr>
          <w:b/>
        </w:rPr>
        <w:lastRenderedPageBreak/>
        <w:t xml:space="preserve">Under the Mental Capacity Act 2005, everyone </w:t>
      </w:r>
      <w:r>
        <w:rPr>
          <w:b/>
        </w:rPr>
        <w:t xml:space="preserve">over 16 </w:t>
      </w:r>
      <w:r w:rsidRPr="003866BF">
        <w:rPr>
          <w:b/>
        </w:rPr>
        <w:t xml:space="preserve">has </w:t>
      </w:r>
      <w:r>
        <w:rPr>
          <w:b/>
        </w:rPr>
        <w:t xml:space="preserve">the </w:t>
      </w:r>
      <w:r w:rsidRPr="003866BF">
        <w:rPr>
          <w:b/>
        </w:rPr>
        <w:t xml:space="preserve">capacity to make </w:t>
      </w:r>
      <w:r>
        <w:rPr>
          <w:b/>
        </w:rPr>
        <w:t xml:space="preserve">their own </w:t>
      </w:r>
      <w:r w:rsidRPr="003866BF">
        <w:rPr>
          <w:b/>
        </w:rPr>
        <w:t xml:space="preserve">decisions unless they have been </w:t>
      </w:r>
      <w:r w:rsidR="009B6F40">
        <w:rPr>
          <w:b/>
        </w:rPr>
        <w:t xml:space="preserve">properly </w:t>
      </w:r>
      <w:r w:rsidRPr="003866BF">
        <w:rPr>
          <w:b/>
        </w:rPr>
        <w:t>assessed as not having capacity.</w:t>
      </w:r>
    </w:p>
    <w:p w14:paraId="4B8AF3C8" w14:textId="17CA6EDC" w:rsidR="000A5F95" w:rsidRDefault="00523CC3" w:rsidP="00FC0E2D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In the context of the Mental Capacity Act we’re usually talking </w:t>
      </w:r>
      <w:r w:rsidR="00897BE3">
        <w:rPr>
          <w:rFonts w:ascii="Arial" w:hAnsi="Arial" w:cs="Arial"/>
          <w:bCs/>
          <w:color w:val="000000"/>
        </w:rPr>
        <w:t xml:space="preserve">about </w:t>
      </w:r>
      <w:r>
        <w:rPr>
          <w:rFonts w:ascii="Arial" w:hAnsi="Arial" w:cs="Arial"/>
          <w:bCs/>
          <w:color w:val="000000"/>
        </w:rPr>
        <w:t xml:space="preserve">decisions affecting </w:t>
      </w:r>
      <w:r w:rsidR="00897BE3">
        <w:rPr>
          <w:rFonts w:ascii="Arial" w:hAnsi="Arial" w:cs="Arial"/>
          <w:bCs/>
          <w:color w:val="000000"/>
        </w:rPr>
        <w:t xml:space="preserve">a person’s own life (including </w:t>
      </w:r>
      <w:r w:rsidR="00B849E1">
        <w:rPr>
          <w:rFonts w:ascii="Arial" w:hAnsi="Arial" w:cs="Arial"/>
          <w:bCs/>
          <w:color w:val="000000"/>
        </w:rPr>
        <w:t xml:space="preserve">a person’s </w:t>
      </w:r>
      <w:r w:rsidR="00897BE3">
        <w:rPr>
          <w:rFonts w:ascii="Arial" w:hAnsi="Arial" w:cs="Arial"/>
          <w:bCs/>
          <w:color w:val="000000"/>
        </w:rPr>
        <w:t>dependents)</w:t>
      </w:r>
      <w:r w:rsidR="00B849E1">
        <w:rPr>
          <w:rFonts w:ascii="Arial" w:hAnsi="Arial" w:cs="Arial"/>
          <w:bCs/>
          <w:color w:val="000000"/>
        </w:rPr>
        <w:t xml:space="preserve"> – about care, health, relationships, money,</w:t>
      </w:r>
      <w:r w:rsidR="008724E1">
        <w:rPr>
          <w:rFonts w:ascii="Arial" w:hAnsi="Arial" w:cs="Arial"/>
          <w:bCs/>
          <w:color w:val="000000"/>
        </w:rPr>
        <w:t xml:space="preserve"> mobility and</w:t>
      </w:r>
      <w:r w:rsidR="00B849E1">
        <w:rPr>
          <w:rFonts w:ascii="Arial" w:hAnsi="Arial" w:cs="Arial"/>
          <w:bCs/>
          <w:color w:val="000000"/>
        </w:rPr>
        <w:t xml:space="preserve"> travel, where we live</w:t>
      </w:r>
      <w:r w:rsidR="008F0CEC">
        <w:rPr>
          <w:rFonts w:ascii="Arial" w:hAnsi="Arial" w:cs="Arial"/>
          <w:bCs/>
          <w:color w:val="000000"/>
        </w:rPr>
        <w:t>, employment, education</w:t>
      </w:r>
      <w:r w:rsidR="00B849E1">
        <w:rPr>
          <w:rFonts w:ascii="Arial" w:hAnsi="Arial" w:cs="Arial"/>
          <w:bCs/>
          <w:color w:val="000000"/>
        </w:rPr>
        <w:t xml:space="preserve"> and more</w:t>
      </w:r>
      <w:r w:rsidR="00897BE3">
        <w:rPr>
          <w:rFonts w:ascii="Arial" w:hAnsi="Arial" w:cs="Arial"/>
          <w:bCs/>
          <w:color w:val="000000"/>
        </w:rPr>
        <w:t>.</w:t>
      </w:r>
    </w:p>
    <w:p w14:paraId="6C98A843" w14:textId="010958A8" w:rsidR="00911216" w:rsidRPr="00B82241" w:rsidRDefault="00911216" w:rsidP="006E444B">
      <w:pPr>
        <w:tabs>
          <w:tab w:val="left" w:pos="8520"/>
        </w:tabs>
        <w:rPr>
          <w:rFonts w:ascii="Arial" w:hAnsi="Arial" w:cs="Arial"/>
          <w:b/>
          <w:bCs/>
          <w:color w:val="000000"/>
        </w:rPr>
      </w:pPr>
      <w:r w:rsidRPr="00B82241">
        <w:rPr>
          <w:rFonts w:ascii="Arial" w:hAnsi="Arial" w:cs="Arial"/>
          <w:b/>
          <w:bCs/>
          <w:color w:val="000000"/>
        </w:rPr>
        <w:t>The Mental Capacity Act 2005</w:t>
      </w:r>
      <w:r w:rsidR="004B58B1" w:rsidRPr="00B82241">
        <w:rPr>
          <w:rStyle w:val="EndnoteReference"/>
          <w:rFonts w:ascii="Arial" w:hAnsi="Arial" w:cs="Arial"/>
          <w:b/>
          <w:bCs/>
          <w:color w:val="000000"/>
        </w:rPr>
        <w:endnoteReference w:id="1"/>
      </w:r>
      <w:r w:rsidRPr="00B82241">
        <w:rPr>
          <w:rFonts w:ascii="Arial" w:hAnsi="Arial" w:cs="Arial"/>
          <w:b/>
          <w:bCs/>
          <w:color w:val="000000"/>
        </w:rPr>
        <w:t xml:space="preserve"> says:</w:t>
      </w:r>
    </w:p>
    <w:p w14:paraId="62958FCA" w14:textId="552CC3A3" w:rsidR="00911216" w:rsidRDefault="00306A2F" w:rsidP="00306A2F">
      <w:pPr>
        <w:pStyle w:val="Quote"/>
        <w:jc w:val="left"/>
      </w:pPr>
      <w:r>
        <w:t>S1(2</w:t>
      </w:r>
      <w:r w:rsidRPr="00306A2F">
        <w:rPr>
          <w:b/>
        </w:rPr>
        <w:t xml:space="preserve">) </w:t>
      </w:r>
      <w:r w:rsidR="00911216" w:rsidRPr="00306A2F">
        <w:rPr>
          <w:b/>
        </w:rPr>
        <w:t>“</w:t>
      </w:r>
      <w:r w:rsidR="004B58B1" w:rsidRPr="00306A2F">
        <w:rPr>
          <w:b/>
        </w:rPr>
        <w:t>A person must be assumed to have capacity unless it is established that he lacks capacity.</w:t>
      </w:r>
      <w:r w:rsidRPr="00306A2F">
        <w:rPr>
          <w:b/>
        </w:rPr>
        <w:t>”</w:t>
      </w:r>
      <w:r w:rsidR="004B58B1">
        <w:t xml:space="preserve"> </w:t>
      </w:r>
    </w:p>
    <w:p w14:paraId="00BC6729" w14:textId="387CC72D" w:rsidR="004B58B1" w:rsidRDefault="00306A2F" w:rsidP="00306A2F">
      <w:pPr>
        <w:pStyle w:val="Quote"/>
        <w:jc w:val="left"/>
      </w:pPr>
      <w:r>
        <w:t>S1(4) “</w:t>
      </w:r>
      <w:r w:rsidR="004B58B1">
        <w:t>A person is not to be treated as unable to make a decision merely because he makes an unwise decision.</w:t>
      </w:r>
      <w:r>
        <w:t>”</w:t>
      </w:r>
    </w:p>
    <w:p w14:paraId="467A7D20" w14:textId="208AAA4C" w:rsidR="004B58B1" w:rsidRDefault="00306A2F" w:rsidP="00306A2F">
      <w:pPr>
        <w:pStyle w:val="Quote"/>
        <w:contextualSpacing/>
        <w:jc w:val="left"/>
      </w:pPr>
      <w:r>
        <w:t xml:space="preserve">S3(1) “… </w:t>
      </w:r>
      <w:r w:rsidR="004B58B1">
        <w:t>a person is unable to make a decision for himself if he is unable—</w:t>
      </w:r>
    </w:p>
    <w:p w14:paraId="13F6D9E0" w14:textId="02B3E620" w:rsidR="004B58B1" w:rsidRDefault="004B58B1" w:rsidP="00306A2F">
      <w:pPr>
        <w:pStyle w:val="Quote"/>
        <w:contextualSpacing/>
        <w:jc w:val="left"/>
      </w:pPr>
      <w:r>
        <w:t>(a)to understand the information relevant to the decision,</w:t>
      </w:r>
    </w:p>
    <w:p w14:paraId="2B644E82" w14:textId="4A901C29" w:rsidR="004B58B1" w:rsidRDefault="004B58B1" w:rsidP="00306A2F">
      <w:pPr>
        <w:pStyle w:val="Quote"/>
        <w:contextualSpacing/>
        <w:jc w:val="left"/>
      </w:pPr>
      <w:r>
        <w:t>(b)to retain that information,</w:t>
      </w:r>
    </w:p>
    <w:p w14:paraId="0F233FC5" w14:textId="15953621" w:rsidR="004B58B1" w:rsidRDefault="004B58B1" w:rsidP="00306A2F">
      <w:pPr>
        <w:pStyle w:val="Quote"/>
        <w:contextualSpacing/>
        <w:jc w:val="left"/>
      </w:pPr>
      <w:r>
        <w:t>(c)to use or weigh that information as part of the process of making the decision, or</w:t>
      </w:r>
    </w:p>
    <w:p w14:paraId="17E3BC56" w14:textId="6A2B3CDA" w:rsidR="003866BF" w:rsidRPr="003866BF" w:rsidRDefault="004B58B1" w:rsidP="003866BF">
      <w:pPr>
        <w:pStyle w:val="Quote"/>
        <w:contextualSpacing/>
        <w:jc w:val="left"/>
      </w:pPr>
      <w:r>
        <w:t>(d)to communicate his decision (whether by talking, using sign language or any other means).</w:t>
      </w:r>
      <w:r w:rsidR="00306A2F">
        <w:t>”</w:t>
      </w:r>
    </w:p>
    <w:p w14:paraId="398F71C0" w14:textId="1549FCBD" w:rsidR="00306A2F" w:rsidRDefault="00D947D6" w:rsidP="00FC0E2D">
      <w:pPr>
        <w:rPr>
          <w:rFonts w:ascii="Arial" w:hAnsi="Arial" w:cs="Arial"/>
          <w:bCs/>
          <w:color w:val="000000"/>
        </w:rPr>
      </w:pPr>
      <w:r w:rsidRPr="00B82241">
        <w:rPr>
          <w:rFonts w:ascii="Arial" w:hAnsi="Arial" w:cs="Arial"/>
          <w:b/>
          <w:bCs/>
          <w:color w:val="000000"/>
        </w:rPr>
        <w:t xml:space="preserve">The Equality Act 2010 </w:t>
      </w:r>
      <w:r w:rsidR="009F68D0" w:rsidRPr="00B82241">
        <w:rPr>
          <w:rFonts w:ascii="Arial" w:hAnsi="Arial" w:cs="Arial"/>
          <w:b/>
          <w:bCs/>
          <w:color w:val="000000"/>
        </w:rPr>
        <w:t>s20 and 21</w:t>
      </w:r>
      <w:r w:rsidR="009F68D0">
        <w:rPr>
          <w:rFonts w:ascii="Arial" w:hAnsi="Arial" w:cs="Arial"/>
          <w:bCs/>
          <w:color w:val="000000"/>
        </w:rPr>
        <w:t xml:space="preserve"> </w:t>
      </w:r>
      <w:r w:rsidR="00306A2F" w:rsidRPr="008F33A5">
        <w:rPr>
          <w:rFonts w:ascii="Arial" w:hAnsi="Arial" w:cs="Arial"/>
          <w:bCs/>
          <w:color w:val="000000"/>
        </w:rPr>
        <w:t xml:space="preserve">requires all anticipatory reasonable adjustments </w:t>
      </w:r>
      <w:r w:rsidR="00306A2F">
        <w:rPr>
          <w:rFonts w:ascii="Arial" w:hAnsi="Arial" w:cs="Arial"/>
          <w:bCs/>
          <w:color w:val="000000"/>
        </w:rPr>
        <w:t xml:space="preserve">to be made, </w:t>
      </w:r>
      <w:r w:rsidR="00306A2F" w:rsidRPr="008F33A5">
        <w:rPr>
          <w:rFonts w:ascii="Arial" w:hAnsi="Arial" w:cs="Arial"/>
          <w:bCs/>
          <w:color w:val="000000"/>
        </w:rPr>
        <w:t xml:space="preserve">including to </w:t>
      </w:r>
      <w:r w:rsidR="00306A2F">
        <w:rPr>
          <w:rFonts w:ascii="Arial" w:hAnsi="Arial" w:cs="Arial"/>
          <w:bCs/>
          <w:color w:val="000000"/>
        </w:rPr>
        <w:t xml:space="preserve">regulations, </w:t>
      </w:r>
      <w:r w:rsidR="00306A2F" w:rsidRPr="008F33A5">
        <w:rPr>
          <w:rFonts w:ascii="Arial" w:hAnsi="Arial" w:cs="Arial"/>
          <w:bCs/>
          <w:color w:val="000000"/>
        </w:rPr>
        <w:t>to provide Disabled people with equal access</w:t>
      </w:r>
      <w:r w:rsidR="00306A2F">
        <w:rPr>
          <w:rFonts w:ascii="Arial" w:hAnsi="Arial" w:cs="Arial"/>
          <w:bCs/>
          <w:color w:val="000000"/>
        </w:rPr>
        <w:t>. Failure to make reasonable adjustments is discrimination.</w:t>
      </w:r>
      <w:r w:rsidR="00306A2F">
        <w:rPr>
          <w:rStyle w:val="EndnoteReference"/>
          <w:rFonts w:ascii="Arial" w:hAnsi="Arial" w:cs="Arial"/>
          <w:bCs/>
          <w:color w:val="000000"/>
        </w:rPr>
        <w:endnoteReference w:id="2"/>
      </w:r>
    </w:p>
    <w:p w14:paraId="2C434DA5" w14:textId="3B174D27" w:rsidR="004B58B1" w:rsidRDefault="00306A2F" w:rsidP="00FC0E2D">
      <w:pPr>
        <w:rPr>
          <w:rFonts w:ascii="Arial" w:hAnsi="Arial" w:cs="Arial"/>
          <w:bCs/>
          <w:color w:val="000000"/>
        </w:rPr>
      </w:pPr>
      <w:r w:rsidRPr="00B82241">
        <w:rPr>
          <w:rFonts w:ascii="Arial" w:hAnsi="Arial" w:cs="Arial"/>
          <w:b/>
          <w:bCs/>
          <w:color w:val="000000"/>
        </w:rPr>
        <w:t>The Public Sector Equality Duty of the Equality Act</w:t>
      </w:r>
      <w:r>
        <w:rPr>
          <w:rFonts w:ascii="Arial" w:hAnsi="Arial" w:cs="Arial"/>
          <w:bCs/>
          <w:color w:val="000000"/>
        </w:rPr>
        <w:t xml:space="preserve"> </w:t>
      </w:r>
      <w:r w:rsidR="009F68D0">
        <w:rPr>
          <w:rFonts w:ascii="Arial" w:hAnsi="Arial" w:cs="Arial"/>
          <w:bCs/>
          <w:color w:val="000000"/>
        </w:rPr>
        <w:t>requires public bodies to “have due regard to the need to” eliminate discrimination, harassment and victimisation, and to advance equality of opportunity for Disabled people.</w:t>
      </w:r>
      <w:r w:rsidR="009F68D0">
        <w:rPr>
          <w:rStyle w:val="EndnoteReference"/>
          <w:rFonts w:ascii="Arial" w:hAnsi="Arial" w:cs="Arial"/>
          <w:bCs/>
          <w:color w:val="000000"/>
        </w:rPr>
        <w:endnoteReference w:id="3"/>
      </w:r>
    </w:p>
    <w:p w14:paraId="19A2ACE6" w14:textId="48AE1D3B" w:rsidR="00D808D2" w:rsidRDefault="00911216" w:rsidP="00D947D6">
      <w:pPr>
        <w:pStyle w:val="Heading2"/>
      </w:pPr>
      <w:r>
        <w:t>Current mobility aid rules presume Disabled people lack capacity</w:t>
      </w:r>
      <w:r w:rsidR="00D137EA">
        <w:t>:</w:t>
      </w:r>
    </w:p>
    <w:p w14:paraId="5AA436F9" w14:textId="0BBA5BC6" w:rsidR="00B82241" w:rsidRPr="00B82241" w:rsidRDefault="0001156A" w:rsidP="00B82241">
      <w:r>
        <w:t xml:space="preserve">Disabled people and our families are </w:t>
      </w:r>
      <w:r w:rsidR="00B917C3">
        <w:t xml:space="preserve">routinely </w:t>
      </w:r>
      <w:r>
        <w:t>presumed to lack</w:t>
      </w:r>
      <w:r w:rsidR="00B917C3">
        <w:t xml:space="preserve"> the</w:t>
      </w:r>
      <w:r>
        <w:t xml:space="preserve"> capacity to make decisions that </w:t>
      </w:r>
      <w:r w:rsidR="00B917C3">
        <w:t>are</w:t>
      </w:r>
      <w:r>
        <w:t xml:space="preserve"> directly comparable to decisions that non-disabled people (and parents of non-disabled children) are presumed to have the capacity to make.</w:t>
      </w:r>
      <w:r w:rsidR="00B917C3">
        <w:t xml:space="preserve"> For example:</w:t>
      </w:r>
    </w:p>
    <w:p w14:paraId="0ECE943E" w14:textId="5BED56D2" w:rsidR="00306A2F" w:rsidRDefault="00306A2F" w:rsidP="0001156A">
      <w:pPr>
        <w:pStyle w:val="ListParagraph"/>
        <w:numPr>
          <w:ilvl w:val="0"/>
          <w:numId w:val="23"/>
        </w:numPr>
        <w:ind w:left="284"/>
      </w:pPr>
      <w:r>
        <w:t>Disabled people using powered mobility aids are restricted to a maximum powered speed of 8mph on roads</w:t>
      </w:r>
      <w:r w:rsidR="009F68D0">
        <w:t xml:space="preserve">. In contrast, </w:t>
      </w:r>
      <w:r>
        <w:t xml:space="preserve">largely non-disabled people using e-cycles and e-scooters </w:t>
      </w:r>
      <w:r w:rsidR="009F68D0">
        <w:t xml:space="preserve">comparable in size, function and stability to powered mobility aids </w:t>
      </w:r>
      <w:r w:rsidR="00FD72A3">
        <w:t xml:space="preserve">including e-handcycles and e-trikes </w:t>
      </w:r>
      <w:r w:rsidR="003F5641">
        <w:t>are allowed to travel at a</w:t>
      </w:r>
      <w:r>
        <w:t xml:space="preserve"> maximum powered speed of 15.5mph</w:t>
      </w:r>
      <w:r w:rsidR="003F5641">
        <w:t xml:space="preserve"> (and faster by pedalling or rolling downhill)</w:t>
      </w:r>
      <w:r>
        <w:t xml:space="preserve">. </w:t>
      </w:r>
      <w:r w:rsidR="00EE1FFF">
        <w:t>Further, t</w:t>
      </w:r>
      <w:r>
        <w:t xml:space="preserve">he 8mph </w:t>
      </w:r>
      <w:r w:rsidR="009F68D0">
        <w:t xml:space="preserve">legal </w:t>
      </w:r>
      <w:r>
        <w:t>maximum powered speed</w:t>
      </w:r>
      <w:r w:rsidR="002F3B55">
        <w:t xml:space="preserve"> </w:t>
      </w:r>
      <w:r>
        <w:t>applies to devices which are already safety certified</w:t>
      </w:r>
      <w:r w:rsidR="009F68D0">
        <w:t xml:space="preserve"> under British Standards</w:t>
      </w:r>
      <w:r w:rsidR="009F68D0">
        <w:rPr>
          <w:rStyle w:val="EndnoteReference"/>
        </w:rPr>
        <w:endnoteReference w:id="4"/>
      </w:r>
      <w:r>
        <w:t xml:space="preserve"> to 20kph, 12.4mph</w:t>
      </w:r>
      <w:r w:rsidR="009F68D0">
        <w:t xml:space="preserve">. </w:t>
      </w:r>
      <w:r w:rsidR="0001156A">
        <w:t>Safety</w:t>
      </w:r>
      <w:r w:rsidR="009F68D0">
        <w:t xml:space="preserve"> is</w:t>
      </w:r>
      <w:r w:rsidR="0001156A">
        <w:t xml:space="preserve"> demonstrably</w:t>
      </w:r>
      <w:r w:rsidR="009F68D0">
        <w:t xml:space="preserve"> not the reason for </w:t>
      </w:r>
      <w:r w:rsidR="00B82241">
        <w:t>the 8mph</w:t>
      </w:r>
      <w:r w:rsidR="009F68D0">
        <w:t xml:space="preserve"> speed restriction.</w:t>
      </w:r>
    </w:p>
    <w:p w14:paraId="106FEEE1" w14:textId="17FF8462" w:rsidR="00306A2F" w:rsidRDefault="009F68D0" w:rsidP="0001156A">
      <w:pPr>
        <w:pStyle w:val="ListParagraph"/>
        <w:numPr>
          <w:ilvl w:val="0"/>
          <w:numId w:val="23"/>
        </w:numPr>
        <w:ind w:left="284"/>
      </w:pPr>
      <w:r>
        <w:t xml:space="preserve">Disabled people using powered mobility aids in pedestrian spaces are </w:t>
      </w:r>
      <w:r w:rsidR="002F3B55">
        <w:t>restricted by law to a maximum speed of 4mph. In contrast, non-disabled people moving in comparable ways</w:t>
      </w:r>
      <w:r>
        <w:t xml:space="preserve"> </w:t>
      </w:r>
      <w:r w:rsidR="009D1372">
        <w:t xml:space="preserve">have no legal restriction preventing them from moving at above 4mph on pavements. This includes people running downhill, </w:t>
      </w:r>
      <w:r w:rsidR="00306A2F">
        <w:t xml:space="preserve">pushing or pulling handcarts, trolleys, pushchairs and </w:t>
      </w:r>
      <w:r>
        <w:t>sack barrows</w:t>
      </w:r>
      <w:r w:rsidR="00306A2F">
        <w:t xml:space="preserve"> with comparable mass </w:t>
      </w:r>
      <w:r>
        <w:t xml:space="preserve">to many powered mobility aids and </w:t>
      </w:r>
      <w:r w:rsidR="0001156A">
        <w:t xml:space="preserve">often </w:t>
      </w:r>
      <w:r>
        <w:t>with no braking systems</w:t>
      </w:r>
      <w:r w:rsidR="002F3B55">
        <w:t xml:space="preserve">. Mobility aid users are already trusted to slow to safe </w:t>
      </w:r>
      <w:r w:rsidR="002F3B55">
        <w:lastRenderedPageBreak/>
        <w:t>speeds well below 4mph in busy or hazardous spaces such as shopping centres, narrow footways etc</w:t>
      </w:r>
      <w:r w:rsidR="0001156A">
        <w:t>.</w:t>
      </w:r>
      <w:r w:rsidR="002F3B55">
        <w:t xml:space="preserve"> As above, </w:t>
      </w:r>
      <w:r w:rsidR="003F5641">
        <w:t>we have found</w:t>
      </w:r>
      <w:r w:rsidR="002F3B55">
        <w:t xml:space="preserve"> no evidence that Disabled people using mobility aids pose a greater risk to ourselves or others than non-disabled people with comparable masses and speeds</w:t>
      </w:r>
      <w:r w:rsidR="00EE1FFF">
        <w:t xml:space="preserve">, and therefore </w:t>
      </w:r>
      <w:r w:rsidR="003F5641">
        <w:t xml:space="preserve">can find </w:t>
      </w:r>
      <w:r w:rsidR="00EE1FFF">
        <w:t xml:space="preserve">no justification for imposing </w:t>
      </w:r>
      <w:r w:rsidR="0081057F">
        <w:t>legal</w:t>
      </w:r>
      <w:r w:rsidR="00EE1FFF">
        <w:t xml:space="preserve"> speed restrictions on Disabled people that do not apply to comparable non-disabled people</w:t>
      </w:r>
      <w:r w:rsidR="002F3B55">
        <w:t>.</w:t>
      </w:r>
    </w:p>
    <w:p w14:paraId="54F8126D" w14:textId="2D98B289" w:rsidR="00B82241" w:rsidRDefault="00B82241" w:rsidP="0001156A">
      <w:pPr>
        <w:pStyle w:val="ListParagraph"/>
        <w:numPr>
          <w:ilvl w:val="0"/>
          <w:numId w:val="23"/>
        </w:numPr>
        <w:ind w:left="284"/>
      </w:pPr>
      <w:r>
        <w:t xml:space="preserve">Disabled </w:t>
      </w:r>
      <w:r w:rsidR="00231DC1">
        <w:t>people</w:t>
      </w:r>
      <w:r>
        <w:t xml:space="preserve"> are</w:t>
      </w:r>
      <w:r w:rsidR="00231DC1">
        <w:t xml:space="preserve"> presently prohibited from carrying our children and adult dependents on our </w:t>
      </w:r>
      <w:r w:rsidR="0001156A">
        <w:t xml:space="preserve">“invalid carriage” </w:t>
      </w:r>
      <w:r w:rsidR="00231DC1">
        <w:t xml:space="preserve">mobility devices, and from using person- or cargo- carrying attachments </w:t>
      </w:r>
      <w:r w:rsidR="00640A37">
        <w:t>with our mobility aids</w:t>
      </w:r>
      <w:r w:rsidR="00231DC1">
        <w:t xml:space="preserve">. In contrast, </w:t>
      </w:r>
      <w:r w:rsidR="0001156A">
        <w:t>people</w:t>
      </w:r>
      <w:r w:rsidR="00640A37">
        <w:t xml:space="preserve"> </w:t>
      </w:r>
      <w:r w:rsidR="0001156A">
        <w:t>walking/running</w:t>
      </w:r>
      <w:r w:rsidR="00231DC1">
        <w:t xml:space="preserve"> are permitted to carry </w:t>
      </w:r>
      <w:r w:rsidR="00640A37">
        <w:t>others</w:t>
      </w:r>
      <w:r w:rsidR="00231DC1">
        <w:t xml:space="preserve"> </w:t>
      </w:r>
      <w:r w:rsidR="0001156A">
        <w:t xml:space="preserve">in any way </w:t>
      </w:r>
      <w:r w:rsidR="00640A37">
        <w:t>they</w:t>
      </w:r>
      <w:r w:rsidR="0001156A">
        <w:t xml:space="preserve"> deem appropriate, including with no </w:t>
      </w:r>
      <w:r w:rsidR="004A03A6">
        <w:t xml:space="preserve">special </w:t>
      </w:r>
      <w:r w:rsidR="0001156A">
        <w:t>equipment</w:t>
      </w:r>
      <w:r w:rsidR="00231DC1">
        <w:t xml:space="preserve"> </w:t>
      </w:r>
      <w:r w:rsidR="004A03A6">
        <w:t xml:space="preserve">(in arms, piggy backs or on shoulders), </w:t>
      </w:r>
      <w:r w:rsidR="00231DC1">
        <w:t xml:space="preserve">or using </w:t>
      </w:r>
      <w:r w:rsidR="0001156A">
        <w:t>child</w:t>
      </w:r>
      <w:r w:rsidR="00231DC1">
        <w:t xml:space="preserve"> carriers, pushchairs</w:t>
      </w:r>
      <w:r w:rsidR="0001156A">
        <w:t>, wheelchairs</w:t>
      </w:r>
      <w:r w:rsidR="00231DC1">
        <w:t xml:space="preserve"> and handcarts. </w:t>
      </w:r>
      <w:r w:rsidR="00640A37">
        <w:t xml:space="preserve">People cycling, who are </w:t>
      </w:r>
      <w:r w:rsidR="004A03A6">
        <w:t>stereo</w:t>
      </w:r>
      <w:r w:rsidR="00640A37">
        <w:t>typically expected to be non-disabled,</w:t>
      </w:r>
      <w:r w:rsidR="0001156A">
        <w:t xml:space="preserve"> are permitted to carry any number of children, adults or cargo on or attached to our cycles, provided the cycle is designed or adapted </w:t>
      </w:r>
      <w:r w:rsidR="00C20F55">
        <w:t>to transport</w:t>
      </w:r>
      <w:r w:rsidR="0001156A">
        <w:t xml:space="preserve"> the people it is carrying.</w:t>
      </w:r>
      <w:r w:rsidR="00B917C3">
        <w:rPr>
          <w:rStyle w:val="EndnoteReference"/>
        </w:rPr>
        <w:endnoteReference w:id="5"/>
      </w:r>
    </w:p>
    <w:p w14:paraId="51AEF4DD" w14:textId="064F2168" w:rsidR="00B82241" w:rsidRDefault="00B82241" w:rsidP="00911216">
      <w:pPr>
        <w:pStyle w:val="ListParagraph"/>
        <w:numPr>
          <w:ilvl w:val="0"/>
          <w:numId w:val="23"/>
        </w:numPr>
        <w:ind w:left="284"/>
      </w:pPr>
      <w:r>
        <w:t>Parents of Disabled children</w:t>
      </w:r>
      <w:r w:rsidR="0001156A">
        <w:t xml:space="preserve"> who need power to assist with movement</w:t>
      </w:r>
      <w:r>
        <w:t xml:space="preserve"> </w:t>
      </w:r>
      <w:r w:rsidR="0001156A">
        <w:t xml:space="preserve">are not permitted to provide our children with devices which enable above-walking-speed movement until our children are 14, </w:t>
      </w:r>
      <w:r w:rsidR="007C1399">
        <w:t xml:space="preserve">whatever </w:t>
      </w:r>
      <w:r w:rsidR="00EF4224">
        <w:t xml:space="preserve">our </w:t>
      </w:r>
      <w:r w:rsidR="00B851F8">
        <w:t xml:space="preserve">judgement about our child’s </w:t>
      </w:r>
      <w:r w:rsidR="00640A37">
        <w:t>capability</w:t>
      </w:r>
      <w:r w:rsidR="0001156A">
        <w:t xml:space="preserve">. </w:t>
      </w:r>
      <w:r w:rsidR="00B851F8">
        <w:t xml:space="preserve">In contrast, </w:t>
      </w:r>
      <w:r w:rsidR="0001156A">
        <w:t>parents of non-disabled children</w:t>
      </w:r>
      <w:r w:rsidR="00B851F8">
        <w:t xml:space="preserve"> </w:t>
      </w:r>
      <w:r w:rsidR="0001156A">
        <w:t xml:space="preserve">are encouraged to support our children to </w:t>
      </w:r>
      <w:r w:rsidR="00EF4224">
        <w:t xml:space="preserve">develop the ability to </w:t>
      </w:r>
      <w:r w:rsidR="0001156A">
        <w:t>run, scoot and cycle trips</w:t>
      </w:r>
      <w:r w:rsidR="00784676">
        <w:t xml:space="preserve"> including at above 4mph,</w:t>
      </w:r>
      <w:r w:rsidR="0001156A">
        <w:t xml:space="preserve"> to improve physical and emotional health, social development and independence.</w:t>
      </w:r>
      <w:r w:rsidR="0098285E">
        <w:rPr>
          <w:rStyle w:val="EndnoteReference"/>
        </w:rPr>
        <w:endnoteReference w:id="6"/>
      </w:r>
      <w:r w:rsidR="0098285E">
        <w:t xml:space="preserve"> </w:t>
      </w:r>
      <w:r w:rsidR="0098285E">
        <w:rPr>
          <w:rStyle w:val="EndnoteReference"/>
        </w:rPr>
        <w:endnoteReference w:id="7"/>
      </w:r>
    </w:p>
    <w:p w14:paraId="5ACF8445" w14:textId="0DB49F32" w:rsidR="00B82241" w:rsidRPr="002F3B55" w:rsidRDefault="00B82241" w:rsidP="002F3B55">
      <w:pPr>
        <w:pStyle w:val="IntenseQuote"/>
        <w:rPr>
          <w:b/>
        </w:rPr>
      </w:pPr>
      <w:r w:rsidRPr="002F3B55">
        <w:rPr>
          <w:b/>
        </w:rPr>
        <w:t xml:space="preserve">We believe </w:t>
      </w:r>
      <w:r w:rsidR="004D4B7F" w:rsidRPr="002F3B55">
        <w:rPr>
          <w:b/>
        </w:rPr>
        <w:t xml:space="preserve">that </w:t>
      </w:r>
      <w:r w:rsidR="002F3B55">
        <w:rPr>
          <w:b/>
        </w:rPr>
        <w:t xml:space="preserve">the above examples </w:t>
      </w:r>
      <w:r w:rsidR="007320B1">
        <w:rPr>
          <w:b/>
        </w:rPr>
        <w:t>demonstrate</w:t>
      </w:r>
      <w:r w:rsidRPr="002F3B55">
        <w:rPr>
          <w:b/>
        </w:rPr>
        <w:t xml:space="preserve"> illegal discrimination</w:t>
      </w:r>
      <w:r w:rsidR="002F3B55" w:rsidRPr="002F3B55">
        <w:rPr>
          <w:b/>
        </w:rPr>
        <w:t>, breaching both the Mental Capacity Act 2005 and the Equality Act 2010</w:t>
      </w:r>
      <w:r w:rsidRPr="002F3B55">
        <w:rPr>
          <w:b/>
        </w:rPr>
        <w:t>.</w:t>
      </w:r>
    </w:p>
    <w:p w14:paraId="4578D04C" w14:textId="4E671240" w:rsidR="00911216" w:rsidRDefault="00BD0670" w:rsidP="00FC0E2D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Regulations around mobility aid use in public spaces interact with restrictions on provision of aids by organisations like the NHS</w:t>
      </w:r>
      <w:r w:rsidR="007320B1">
        <w:rPr>
          <w:rFonts w:ascii="Arial" w:hAnsi="Arial" w:cs="Arial"/>
          <w:bCs/>
          <w:color w:val="000000"/>
        </w:rPr>
        <w:t xml:space="preserve"> and a lack of </w:t>
      </w:r>
      <w:r>
        <w:rPr>
          <w:rFonts w:ascii="Arial" w:hAnsi="Arial" w:cs="Arial"/>
          <w:bCs/>
          <w:color w:val="000000"/>
        </w:rPr>
        <w:t xml:space="preserve">information </w:t>
      </w:r>
      <w:r w:rsidR="008278E3">
        <w:rPr>
          <w:rFonts w:ascii="Arial" w:hAnsi="Arial" w:cs="Arial"/>
          <w:bCs/>
          <w:color w:val="000000"/>
        </w:rPr>
        <w:t>a</w:t>
      </w:r>
      <w:r>
        <w:rPr>
          <w:rFonts w:ascii="Arial" w:hAnsi="Arial" w:cs="Arial"/>
          <w:bCs/>
          <w:color w:val="000000"/>
        </w:rPr>
        <w:t xml:space="preserve">bout </w:t>
      </w:r>
      <w:r w:rsidR="004375DE">
        <w:rPr>
          <w:rFonts w:ascii="Arial" w:hAnsi="Arial" w:cs="Arial"/>
          <w:bCs/>
          <w:color w:val="000000"/>
        </w:rPr>
        <w:t>modern powered aid function options</w:t>
      </w:r>
      <w:r>
        <w:rPr>
          <w:rFonts w:ascii="Arial" w:hAnsi="Arial" w:cs="Arial"/>
          <w:bCs/>
          <w:color w:val="000000"/>
        </w:rPr>
        <w:t xml:space="preserve">. This </w:t>
      </w:r>
      <w:r w:rsidR="00356877">
        <w:rPr>
          <w:rFonts w:ascii="Arial" w:hAnsi="Arial" w:cs="Arial"/>
          <w:bCs/>
          <w:color w:val="000000"/>
        </w:rPr>
        <w:t>family</w:t>
      </w:r>
      <w:r>
        <w:rPr>
          <w:rFonts w:ascii="Arial" w:hAnsi="Arial" w:cs="Arial"/>
          <w:bCs/>
          <w:color w:val="000000"/>
        </w:rPr>
        <w:t xml:space="preserve"> contacted us about their struggle to get their child </w:t>
      </w:r>
      <w:r w:rsidR="008278E3">
        <w:rPr>
          <w:rFonts w:ascii="Arial" w:hAnsi="Arial" w:cs="Arial"/>
          <w:bCs/>
          <w:color w:val="000000"/>
        </w:rPr>
        <w:t xml:space="preserve">a powerchair which would allow </w:t>
      </w:r>
      <w:r w:rsidR="004B58B1">
        <w:rPr>
          <w:rFonts w:ascii="Arial" w:hAnsi="Arial" w:cs="Arial"/>
          <w:bCs/>
          <w:color w:val="000000"/>
        </w:rPr>
        <w:t>them</w:t>
      </w:r>
      <w:r w:rsidR="008278E3">
        <w:rPr>
          <w:rFonts w:ascii="Arial" w:hAnsi="Arial" w:cs="Arial"/>
          <w:bCs/>
          <w:color w:val="000000"/>
        </w:rPr>
        <w:t xml:space="preserve"> to experience moving independently</w:t>
      </w:r>
      <w:r>
        <w:rPr>
          <w:rFonts w:ascii="Arial" w:hAnsi="Arial" w:cs="Arial"/>
          <w:bCs/>
          <w:color w:val="000000"/>
        </w:rPr>
        <w:t>:</w:t>
      </w:r>
    </w:p>
    <w:p w14:paraId="73D6E6A0" w14:textId="77777777" w:rsidR="00BD0670" w:rsidRDefault="00D137EA" w:rsidP="00BD0670">
      <w:pPr>
        <w:pStyle w:val="Quote"/>
      </w:pPr>
      <w:r w:rsidRPr="00D137EA">
        <w:t>“</w:t>
      </w:r>
      <w:r w:rsidR="00BD0670">
        <w:t>W</w:t>
      </w:r>
      <w:r w:rsidR="00BD0670" w:rsidRPr="00BD0670">
        <w:t>hen you take a child for assessment for a powerchair,</w:t>
      </w:r>
      <w:r w:rsidR="00BD0670">
        <w:t xml:space="preserve"> </w:t>
      </w:r>
      <w:r w:rsidR="00BD0670" w:rsidRPr="00BD0670">
        <w:t>they will only be allowed one if they can already control it and do so safely.</w:t>
      </w:r>
      <w:r w:rsidR="00BD0670">
        <w:t xml:space="preserve"> </w:t>
      </w:r>
      <w:r w:rsidR="00BD0670" w:rsidRPr="00BD0670">
        <w:t>Isn’t that similar to telling a child they can’t have a bike until they can ride one or walk until they understand road safety….</w:t>
      </w:r>
    </w:p>
    <w:p w14:paraId="7D61412B" w14:textId="31C911F3" w:rsidR="00D808D2" w:rsidRDefault="00BD0670" w:rsidP="00BD0670">
      <w:pPr>
        <w:pStyle w:val="Quote"/>
      </w:pPr>
      <w:r w:rsidRPr="00BD0670">
        <w:t>My son may never be able to steer a chair well enough to use it on pavements but would benefit so much from being able to use one in parks,</w:t>
      </w:r>
      <w:r>
        <w:t xml:space="preserve"> </w:t>
      </w:r>
      <w:r w:rsidRPr="00BD0670">
        <w:t>hallways and gardens.</w:t>
      </w:r>
      <w:r>
        <w:t xml:space="preserve"> </w:t>
      </w:r>
      <w:proofErr w:type="gramStart"/>
      <w:r w:rsidRPr="00BD0670">
        <w:t>Of course</w:t>
      </w:r>
      <w:proofErr w:type="gramEnd"/>
      <w:r w:rsidRPr="00BD0670">
        <w:t xml:space="preserve"> we’ll never know whether the former is possible until he’s given the opportunity to practice</w:t>
      </w:r>
      <w:r>
        <w:t>.</w:t>
      </w:r>
      <w:r w:rsidR="00D808D2">
        <w:t>”</w:t>
      </w:r>
    </w:p>
    <w:p w14:paraId="690BEE9A" w14:textId="2CC86F8A" w:rsidR="007320B1" w:rsidRPr="007320B1" w:rsidRDefault="007320B1" w:rsidP="007320B1">
      <w:r>
        <w:t>We were able to share examples of powerchairs which have collision avoidance,</w:t>
      </w:r>
      <w:r w:rsidR="002065B1">
        <w:rPr>
          <w:rStyle w:val="EndnoteReference"/>
        </w:rPr>
        <w:endnoteReference w:id="8"/>
      </w:r>
      <w:r>
        <w:t xml:space="preserve"> line following</w:t>
      </w:r>
      <w:r w:rsidR="00050172">
        <w:rPr>
          <w:rStyle w:val="EndnoteReference"/>
        </w:rPr>
        <w:endnoteReference w:id="9"/>
      </w:r>
      <w:r>
        <w:t xml:space="preserve"> and autonomous movement</w:t>
      </w:r>
      <w:r w:rsidR="00050172">
        <w:rPr>
          <w:rStyle w:val="EndnoteReference"/>
        </w:rPr>
        <w:endnoteReference w:id="10"/>
      </w:r>
      <w:r>
        <w:t xml:space="preserve"> functions</w:t>
      </w:r>
      <w:r w:rsidR="00EF4224">
        <w:t xml:space="preserve"> with this family. These technologies</w:t>
      </w:r>
      <w:r>
        <w:t xml:space="preserve"> can enable </w:t>
      </w:r>
      <w:r w:rsidR="00201CC0">
        <w:t>people who initially or permanently have difficulty fully controlling a device without such assistance to</w:t>
      </w:r>
      <w:r>
        <w:t xml:space="preserve"> remain safe</w:t>
      </w:r>
      <w:r w:rsidR="00050172">
        <w:t xml:space="preserve"> and</w:t>
      </w:r>
      <w:r w:rsidR="004A151A">
        <w:t xml:space="preserve"> avoid</w:t>
      </w:r>
      <w:r w:rsidR="00EF4224">
        <w:t xml:space="preserve"> collisions</w:t>
      </w:r>
      <w:r>
        <w:t xml:space="preserve"> while </w:t>
      </w:r>
      <w:r w:rsidR="00201CC0">
        <w:t>using</w:t>
      </w:r>
      <w:r>
        <w:t xml:space="preserve"> a powered aid.</w:t>
      </w:r>
    </w:p>
    <w:p w14:paraId="6D0E3A12" w14:textId="685F7CF7" w:rsidR="002D0489" w:rsidRDefault="002447F6" w:rsidP="002D0489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What </w:t>
      </w:r>
      <w:r w:rsidR="00AD001B">
        <w:rPr>
          <w:lang w:val="en-US"/>
        </w:rPr>
        <w:t xml:space="preserve">legal </w:t>
      </w:r>
      <w:r w:rsidR="00510CD0">
        <w:rPr>
          <w:lang w:val="en-US"/>
        </w:rPr>
        <w:t>changes do we need</w:t>
      </w:r>
      <w:r>
        <w:rPr>
          <w:lang w:val="en-US"/>
        </w:rPr>
        <w:t>?</w:t>
      </w:r>
    </w:p>
    <w:p w14:paraId="3249F290" w14:textId="01944950" w:rsidR="0018658F" w:rsidRPr="0018658F" w:rsidRDefault="00901841" w:rsidP="0018658F">
      <w:pPr>
        <w:rPr>
          <w:lang w:val="en-US"/>
        </w:rPr>
      </w:pPr>
      <w:bookmarkStart w:id="0" w:name="_Hlk219210030"/>
      <w:r>
        <w:rPr>
          <w:lang w:val="en-US"/>
        </w:rPr>
        <w:t>We need new mobility aid laws which meet the requirements of the Equality Act 2010 and the Mental Capacity Act 2005, as well as the requirements of the ECHR and UNCRPD</w:t>
      </w:r>
      <w:r w:rsidR="00911216">
        <w:rPr>
          <w:lang w:val="en-US"/>
        </w:rPr>
        <w:t>.</w:t>
      </w:r>
    </w:p>
    <w:bookmarkEnd w:id="0"/>
    <w:p w14:paraId="27A4635B" w14:textId="16C8095A" w:rsidR="006305C9" w:rsidRDefault="00824915" w:rsidP="003F1D0B">
      <w:pPr>
        <w:rPr>
          <w:b/>
          <w:lang w:val="en-US"/>
        </w:rPr>
      </w:pPr>
      <w:r w:rsidRPr="00462A55">
        <w:rPr>
          <w:b/>
          <w:lang w:val="en-US"/>
        </w:rPr>
        <w:t>We want new mobility aid laws to be fit for purpose, fair and future-proofed.</w:t>
      </w:r>
      <w:r>
        <w:rPr>
          <w:b/>
          <w:lang w:val="en-US"/>
        </w:rPr>
        <w:t xml:space="preserve"> </w:t>
      </w:r>
    </w:p>
    <w:p w14:paraId="6E9B9AB9" w14:textId="670C1473" w:rsidR="00911216" w:rsidRDefault="00967974" w:rsidP="00774D3C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Mobility aid laws must provide Disabled people with </w:t>
      </w:r>
      <w:r w:rsidR="00A939E6">
        <w:rPr>
          <w:lang w:val="en-US"/>
        </w:rPr>
        <w:t>equal rights</w:t>
      </w:r>
      <w:r>
        <w:rPr>
          <w:lang w:val="en-US"/>
        </w:rPr>
        <w:t xml:space="preserve"> to pedestrian-equivalent and cycling or cycling-equivalent mobility compared to non-disabled people</w:t>
      </w:r>
      <w:r w:rsidR="00396A52">
        <w:rPr>
          <w:lang w:val="en-US"/>
        </w:rPr>
        <w:t xml:space="preserve">, </w:t>
      </w:r>
      <w:r w:rsidR="000F44DA">
        <w:rPr>
          <w:lang w:val="en-US"/>
        </w:rPr>
        <w:t>including</w:t>
      </w:r>
      <w:r w:rsidR="00396A52">
        <w:rPr>
          <w:lang w:val="en-US"/>
        </w:rPr>
        <w:t xml:space="preserve"> rights </w:t>
      </w:r>
      <w:r w:rsidR="000F44DA">
        <w:rPr>
          <w:lang w:val="en-US"/>
        </w:rPr>
        <w:t xml:space="preserve">for Disabled people of all ages </w:t>
      </w:r>
      <w:r w:rsidR="00396A52">
        <w:rPr>
          <w:lang w:val="en-US"/>
        </w:rPr>
        <w:t>to equivalent speed and equivalent passenger</w:t>
      </w:r>
      <w:r w:rsidR="00640A37">
        <w:rPr>
          <w:lang w:val="en-US"/>
        </w:rPr>
        <w:t xml:space="preserve"> and cargo</w:t>
      </w:r>
      <w:r w:rsidR="00396A52">
        <w:rPr>
          <w:lang w:val="en-US"/>
        </w:rPr>
        <w:t>-carrying options</w:t>
      </w:r>
      <w:r w:rsidR="000F44DA">
        <w:rPr>
          <w:lang w:val="en-US"/>
        </w:rPr>
        <w:t xml:space="preserve"> compared to </w:t>
      </w:r>
      <w:r w:rsidR="004B62D2">
        <w:rPr>
          <w:lang w:val="en-US"/>
        </w:rPr>
        <w:t>non-disabled</w:t>
      </w:r>
      <w:r w:rsidR="000F44DA">
        <w:rPr>
          <w:lang w:val="en-US"/>
        </w:rPr>
        <w:t xml:space="preserve"> peers</w:t>
      </w:r>
      <w:r w:rsidR="00396A52">
        <w:rPr>
          <w:lang w:val="en-US"/>
        </w:rPr>
        <w:t>.</w:t>
      </w:r>
    </w:p>
    <w:p w14:paraId="586488F1" w14:textId="4C9BB3D3" w:rsidR="00702EF2" w:rsidRDefault="00702EF2" w:rsidP="00774D3C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Regulations prohibiting dangerous and antisocial behaviour by all public space users apply equally to mobility aid users.</w:t>
      </w:r>
      <w:r w:rsidR="009A4255">
        <w:rPr>
          <w:lang w:val="en-US"/>
        </w:rPr>
        <w:t xml:space="preserve"> Disabled people can and should face the same civil or criminal enforcement against dangerous and antisocial acts that non-disabled people engaging in </w:t>
      </w:r>
      <w:r w:rsidR="00123271">
        <w:rPr>
          <w:lang w:val="en-US"/>
        </w:rPr>
        <w:t>the same</w:t>
      </w:r>
      <w:r w:rsidR="004F1706">
        <w:rPr>
          <w:lang w:val="en-US"/>
        </w:rPr>
        <w:t xml:space="preserve"> or comparable</w:t>
      </w:r>
      <w:r w:rsidR="009A4255">
        <w:rPr>
          <w:lang w:val="en-US"/>
        </w:rPr>
        <w:t xml:space="preserve"> acts would face.</w:t>
      </w:r>
    </w:p>
    <w:p w14:paraId="38515719" w14:textId="753216BC" w:rsidR="009A4255" w:rsidRPr="00774D3C" w:rsidRDefault="009A4255" w:rsidP="00774D3C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Where </w:t>
      </w:r>
      <w:r w:rsidR="00901841">
        <w:rPr>
          <w:lang w:val="en-US"/>
        </w:rPr>
        <w:t>it is suspected that an individual lacks</w:t>
      </w:r>
      <w:r>
        <w:rPr>
          <w:lang w:val="en-US"/>
        </w:rPr>
        <w:t xml:space="preserve"> capacity to make </w:t>
      </w:r>
      <w:r w:rsidR="00901841">
        <w:rPr>
          <w:lang w:val="en-US"/>
        </w:rPr>
        <w:t xml:space="preserve">some or all </w:t>
      </w:r>
      <w:r>
        <w:rPr>
          <w:lang w:val="en-US"/>
        </w:rPr>
        <w:t>decisions</w:t>
      </w:r>
      <w:r w:rsidR="00901841">
        <w:rPr>
          <w:lang w:val="en-US"/>
        </w:rPr>
        <w:t xml:space="preserve">, their capacity must be properly assessed under the Mental Capacity Act, and their decisions, including </w:t>
      </w:r>
      <w:r w:rsidR="00BA29A1">
        <w:rPr>
          <w:lang w:val="en-US"/>
        </w:rPr>
        <w:t>for mobility</w:t>
      </w:r>
      <w:bookmarkStart w:id="1" w:name="_GoBack"/>
      <w:bookmarkEnd w:id="1"/>
      <w:r w:rsidR="00901841">
        <w:rPr>
          <w:lang w:val="en-US"/>
        </w:rPr>
        <w:t>, must be supported as determined by appropriately appointed people, such as family members or suitable professionals.</w:t>
      </w:r>
    </w:p>
    <w:p w14:paraId="77E33E65" w14:textId="770AF02A" w:rsidR="002D0489" w:rsidRPr="00774D3C" w:rsidRDefault="00462A55" w:rsidP="002D0489">
      <w:pPr>
        <w:rPr>
          <w:b/>
          <w:lang w:val="en-US"/>
        </w:rPr>
      </w:pPr>
      <w:r>
        <w:rPr>
          <w:b/>
          <w:lang w:val="en-US"/>
        </w:rPr>
        <w:t xml:space="preserve">This isn’t radical </w:t>
      </w:r>
      <w:r w:rsidR="00B46656">
        <w:rPr>
          <w:b/>
          <w:lang w:val="en-US"/>
        </w:rPr>
        <w:t>–</w:t>
      </w:r>
      <w:r>
        <w:rPr>
          <w:b/>
          <w:lang w:val="en-US"/>
        </w:rPr>
        <w:t xml:space="preserve"> </w:t>
      </w:r>
      <w:r w:rsidR="00B46656">
        <w:rPr>
          <w:b/>
          <w:lang w:val="en-US"/>
        </w:rPr>
        <w:t xml:space="preserve">we </w:t>
      </w:r>
      <w:r w:rsidR="00911216">
        <w:rPr>
          <w:b/>
          <w:lang w:val="en-US"/>
        </w:rPr>
        <w:t xml:space="preserve">just </w:t>
      </w:r>
      <w:r w:rsidR="005818CC">
        <w:rPr>
          <w:b/>
          <w:lang w:val="en-US"/>
        </w:rPr>
        <w:t>want</w:t>
      </w:r>
      <w:r w:rsidR="00FC0E2D">
        <w:rPr>
          <w:b/>
          <w:lang w:val="en-US"/>
        </w:rPr>
        <w:t xml:space="preserve"> </w:t>
      </w:r>
      <w:r w:rsidR="005818CC">
        <w:rPr>
          <w:b/>
          <w:lang w:val="en-US"/>
        </w:rPr>
        <w:t xml:space="preserve">the </w:t>
      </w:r>
      <w:r w:rsidR="00FC0E2D">
        <w:rPr>
          <w:b/>
          <w:lang w:val="en-US"/>
        </w:rPr>
        <w:t>rules</w:t>
      </w:r>
      <w:r w:rsidR="002D0489" w:rsidRPr="00774D3C">
        <w:rPr>
          <w:b/>
          <w:lang w:val="en-US"/>
        </w:rPr>
        <w:t xml:space="preserve"> for people using mobility aids </w:t>
      </w:r>
      <w:r w:rsidR="005818CC">
        <w:rPr>
          <w:b/>
          <w:lang w:val="en-US"/>
        </w:rPr>
        <w:t xml:space="preserve">to </w:t>
      </w:r>
      <w:r w:rsidR="00CA5F5D">
        <w:rPr>
          <w:b/>
          <w:lang w:val="en-US"/>
        </w:rPr>
        <w:t>presume that Disabled people as well as non-disabled people have the capacity to make our own decisions, as the law requires.</w:t>
      </w:r>
    </w:p>
    <w:p w14:paraId="260E26CF" w14:textId="7E07FAD4" w:rsidR="00535FA6" w:rsidRDefault="00702EF2" w:rsidP="005818CC">
      <w:pPr>
        <w:pStyle w:val="ListParagraph"/>
        <w:numPr>
          <w:ilvl w:val="0"/>
          <w:numId w:val="20"/>
        </w:numPr>
        <w:spacing w:after="120"/>
        <w:ind w:left="714" w:hanging="357"/>
        <w:rPr>
          <w:lang w:val="en-US"/>
        </w:rPr>
      </w:pPr>
      <w:r>
        <w:rPr>
          <w:lang w:val="en-US"/>
        </w:rPr>
        <w:t>The Equality Act 2010 requires the government to make all reasonable adjustments to regulations to provide Disabled people with mobility equality</w:t>
      </w:r>
      <w:r w:rsidR="009B3541">
        <w:rPr>
          <w:rStyle w:val="EndnoteReference"/>
          <w:lang w:val="en-US"/>
        </w:rPr>
        <w:endnoteReference w:id="11"/>
      </w:r>
      <w:r>
        <w:rPr>
          <w:lang w:val="en-US"/>
        </w:rPr>
        <w:t xml:space="preserve"> – and says these adjustments must be made before any Disabled people experience discrimination.</w:t>
      </w:r>
    </w:p>
    <w:p w14:paraId="69ADFAD5" w14:textId="7BBED4B8" w:rsidR="00702EF2" w:rsidRDefault="00702EF2" w:rsidP="005818CC">
      <w:pPr>
        <w:pStyle w:val="ListParagraph"/>
        <w:numPr>
          <w:ilvl w:val="0"/>
          <w:numId w:val="20"/>
        </w:numPr>
        <w:spacing w:after="120"/>
        <w:ind w:left="714" w:hanging="357"/>
        <w:rPr>
          <w:lang w:val="en-US"/>
        </w:rPr>
      </w:pPr>
      <w:r>
        <w:rPr>
          <w:lang w:val="en-US"/>
        </w:rPr>
        <w:t>The Mental Capacity Act 200</w:t>
      </w:r>
      <w:r w:rsidR="00901841">
        <w:rPr>
          <w:lang w:val="en-US"/>
        </w:rPr>
        <w:t>5</w:t>
      </w:r>
      <w:r>
        <w:rPr>
          <w:lang w:val="en-US"/>
        </w:rPr>
        <w:t xml:space="preserve"> says that everyone must be assumed to have the capacity to make decisions.</w:t>
      </w:r>
      <w:r>
        <w:rPr>
          <w:rStyle w:val="EndnoteReference"/>
          <w:lang w:val="en-US"/>
        </w:rPr>
        <w:endnoteReference w:id="12"/>
      </w:r>
      <w:r>
        <w:rPr>
          <w:lang w:val="en-US"/>
        </w:rPr>
        <w:t xml:space="preserve"> That means it’s not reasonable to apply blanket </w:t>
      </w:r>
      <w:r w:rsidR="00B540E9">
        <w:rPr>
          <w:lang w:val="en-US"/>
        </w:rPr>
        <w:t>requirements and</w:t>
      </w:r>
      <w:r>
        <w:rPr>
          <w:lang w:val="en-US"/>
        </w:rPr>
        <w:t xml:space="preserve"> restrictions</w:t>
      </w:r>
      <w:r w:rsidR="00911216">
        <w:rPr>
          <w:lang w:val="en-US"/>
        </w:rPr>
        <w:t xml:space="preserve"> </w:t>
      </w:r>
      <w:r w:rsidR="00B540E9">
        <w:rPr>
          <w:lang w:val="en-US"/>
        </w:rPr>
        <w:t>to devices intended</w:t>
      </w:r>
      <w:r>
        <w:rPr>
          <w:lang w:val="en-US"/>
        </w:rPr>
        <w:t xml:space="preserve"> for Disabled people</w:t>
      </w:r>
      <w:r w:rsidR="00B540E9">
        <w:rPr>
          <w:lang w:val="en-US"/>
        </w:rPr>
        <w:t>’s use</w:t>
      </w:r>
      <w:r>
        <w:rPr>
          <w:lang w:val="en-US"/>
        </w:rPr>
        <w:t xml:space="preserve"> that don’t apply to </w:t>
      </w:r>
      <w:r w:rsidR="00E71018">
        <w:rPr>
          <w:lang w:val="en-US"/>
        </w:rPr>
        <w:t>comparable</w:t>
      </w:r>
      <w:r>
        <w:rPr>
          <w:lang w:val="en-US"/>
        </w:rPr>
        <w:t xml:space="preserve"> </w:t>
      </w:r>
      <w:r w:rsidR="00B540E9">
        <w:rPr>
          <w:lang w:val="en-US"/>
        </w:rPr>
        <w:t>devices</w:t>
      </w:r>
      <w:r w:rsidR="00CA5F5D">
        <w:rPr>
          <w:lang w:val="en-US"/>
        </w:rPr>
        <w:t xml:space="preserve"> mostly intended for non-disabled people</w:t>
      </w:r>
      <w:r w:rsidR="00B540E9">
        <w:rPr>
          <w:lang w:val="en-US"/>
        </w:rPr>
        <w:t>’s use</w:t>
      </w:r>
      <w:r w:rsidR="00CC7F63">
        <w:rPr>
          <w:lang w:val="en-US"/>
        </w:rPr>
        <w:t>, as this implicitly assumes that Disabled people cannot be trusted to make safe decisions in the same way that non-disabled people can</w:t>
      </w:r>
      <w:r>
        <w:rPr>
          <w:lang w:val="en-US"/>
        </w:rPr>
        <w:t>.</w:t>
      </w:r>
    </w:p>
    <w:p w14:paraId="712C7487" w14:textId="48BE66DC" w:rsidR="00702EF2" w:rsidRDefault="00911216" w:rsidP="005818CC">
      <w:pPr>
        <w:pStyle w:val="ListParagraph"/>
        <w:numPr>
          <w:ilvl w:val="0"/>
          <w:numId w:val="20"/>
        </w:numPr>
        <w:spacing w:after="120"/>
        <w:ind w:left="714" w:hanging="357"/>
        <w:rPr>
          <w:lang w:val="en-US"/>
        </w:rPr>
      </w:pPr>
      <w:r>
        <w:rPr>
          <w:lang w:val="en-US"/>
        </w:rPr>
        <w:t>Many non-disabled and some</w:t>
      </w:r>
      <w:r w:rsidR="00E71018">
        <w:rPr>
          <w:lang w:val="en-US"/>
        </w:rPr>
        <w:t xml:space="preserve"> </w:t>
      </w:r>
      <w:r w:rsidR="00702EF2">
        <w:rPr>
          <w:lang w:val="en-US"/>
        </w:rPr>
        <w:t>Disabled people already use a full range of e-assist cycles at up to 15.5mph powered speeds in all cycle-permitted spaces.</w:t>
      </w:r>
    </w:p>
    <w:p w14:paraId="0CBA3A31" w14:textId="3F01FADA" w:rsidR="00702EF2" w:rsidRDefault="00E71018" w:rsidP="005818CC">
      <w:pPr>
        <w:pStyle w:val="ListParagraph"/>
        <w:numPr>
          <w:ilvl w:val="0"/>
          <w:numId w:val="20"/>
        </w:numPr>
        <w:spacing w:after="120"/>
        <w:ind w:left="714" w:hanging="357"/>
        <w:rPr>
          <w:lang w:val="en-US"/>
        </w:rPr>
      </w:pPr>
      <w:r>
        <w:rPr>
          <w:lang w:val="en-US"/>
        </w:rPr>
        <w:t xml:space="preserve">Some </w:t>
      </w:r>
      <w:r w:rsidR="00702EF2">
        <w:rPr>
          <w:lang w:val="en-US"/>
        </w:rPr>
        <w:t xml:space="preserve">Disabled people already use </w:t>
      </w:r>
      <w:r w:rsidR="00AA11F7">
        <w:rPr>
          <w:lang w:val="en-US"/>
        </w:rPr>
        <w:t xml:space="preserve">fully </w:t>
      </w:r>
      <w:r w:rsidR="00702EF2">
        <w:rPr>
          <w:lang w:val="en-US"/>
        </w:rPr>
        <w:t>powered mobility aids that are certified under existing British Standards</w:t>
      </w:r>
      <w:r w:rsidR="00AA11F7">
        <w:rPr>
          <w:lang w:val="en-US"/>
        </w:rPr>
        <w:t xml:space="preserve"> </w:t>
      </w:r>
      <w:r w:rsidR="00702EF2">
        <w:rPr>
          <w:lang w:val="en-US"/>
        </w:rPr>
        <w:t xml:space="preserve">for safe use </w:t>
      </w:r>
      <w:r w:rsidR="005B7EC5">
        <w:rPr>
          <w:lang w:val="en-US"/>
        </w:rPr>
        <w:t xml:space="preserve">fully powered </w:t>
      </w:r>
      <w:r w:rsidR="00702EF2">
        <w:rPr>
          <w:lang w:val="en-US"/>
        </w:rPr>
        <w:t>up to 12.</w:t>
      </w:r>
      <w:r w:rsidR="00AA11F7">
        <w:rPr>
          <w:lang w:val="en-US"/>
        </w:rPr>
        <w:t>4</w:t>
      </w:r>
      <w:r w:rsidR="00702EF2">
        <w:rPr>
          <w:lang w:val="en-US"/>
        </w:rPr>
        <w:t>mph</w:t>
      </w:r>
      <w:r w:rsidR="00640A37">
        <w:rPr>
          <w:lang w:val="en-US"/>
        </w:rPr>
        <w:t xml:space="preserve"> (20kph)</w:t>
      </w:r>
      <w:r w:rsidR="001F53A1">
        <w:rPr>
          <w:lang w:val="en-US"/>
        </w:rPr>
        <w:t xml:space="preserve"> – but still must legally have these devices restricted to 8mph maximum for the device to be legal for use in public spaces</w:t>
      </w:r>
      <w:r w:rsidR="00AA11F7">
        <w:rPr>
          <w:lang w:val="en-US"/>
        </w:rPr>
        <w:t>.</w:t>
      </w:r>
    </w:p>
    <w:p w14:paraId="7C42911C" w14:textId="467E592C" w:rsidR="00AA11F7" w:rsidRDefault="00AA11F7" w:rsidP="005818CC">
      <w:pPr>
        <w:pStyle w:val="ListParagraph"/>
        <w:numPr>
          <w:ilvl w:val="0"/>
          <w:numId w:val="20"/>
        </w:numPr>
        <w:spacing w:after="120"/>
        <w:ind w:left="714" w:hanging="357"/>
        <w:rPr>
          <w:lang w:val="en-US"/>
        </w:rPr>
      </w:pPr>
      <w:r>
        <w:rPr>
          <w:lang w:val="en-US"/>
        </w:rPr>
        <w:t xml:space="preserve">Disabled people already use judgement to select appropriate speeds </w:t>
      </w:r>
      <w:r w:rsidR="00911216">
        <w:rPr>
          <w:lang w:val="en-US"/>
        </w:rPr>
        <w:t xml:space="preserve">and to choose </w:t>
      </w:r>
      <w:r w:rsidR="00640A37">
        <w:rPr>
          <w:lang w:val="en-US"/>
        </w:rPr>
        <w:t>the best available</w:t>
      </w:r>
      <w:r w:rsidR="00911216">
        <w:rPr>
          <w:lang w:val="en-US"/>
        </w:rPr>
        <w:t xml:space="preserve"> ways to make trips with the people and luggage we need to.</w:t>
      </w:r>
      <w:r w:rsidR="00640A37">
        <w:rPr>
          <w:lang w:val="en-US"/>
        </w:rPr>
        <w:t xml:space="preserve"> C</w:t>
      </w:r>
      <w:r w:rsidR="00911216">
        <w:rPr>
          <w:lang w:val="en-US"/>
        </w:rPr>
        <w:t xml:space="preserve">urrent mobility aid legal restrictions are making Disabled people’s journeys </w:t>
      </w:r>
      <w:r w:rsidR="00640A37">
        <w:rPr>
          <w:lang w:val="en-US"/>
        </w:rPr>
        <w:t>more difficult, slower</w:t>
      </w:r>
      <w:r w:rsidR="00911216">
        <w:rPr>
          <w:lang w:val="en-US"/>
        </w:rPr>
        <w:t xml:space="preserve"> and often less safe than equivalent </w:t>
      </w:r>
      <w:r w:rsidR="00CA5F5D">
        <w:rPr>
          <w:lang w:val="en-US"/>
        </w:rPr>
        <w:t>non-disabled people’s journeys</w:t>
      </w:r>
      <w:r>
        <w:rPr>
          <w:lang w:val="en-US"/>
        </w:rPr>
        <w:t>.</w:t>
      </w:r>
    </w:p>
    <w:p w14:paraId="4F392C90" w14:textId="634F0F64" w:rsidR="00510CD0" w:rsidRDefault="00510CD0" w:rsidP="00510CD0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What you can do</w:t>
      </w:r>
    </w:p>
    <w:p w14:paraId="080FDE02" w14:textId="741EDF10" w:rsidR="00B11BCF" w:rsidRPr="0018658F" w:rsidRDefault="00FC0E2D" w:rsidP="00FC0E2D">
      <w:pPr>
        <w:rPr>
          <w:rFonts w:eastAsia="Times New Roman"/>
        </w:rPr>
      </w:pPr>
      <w:bookmarkStart w:id="2" w:name="_Hlk219209952"/>
      <w:r w:rsidRPr="0018658F">
        <w:rPr>
          <w:rFonts w:eastAsia="Times New Roman"/>
        </w:rPr>
        <w:t xml:space="preserve">We want Disabled people to have the same </w:t>
      </w:r>
      <w:r w:rsidR="009C1D43" w:rsidRPr="0018658F">
        <w:rPr>
          <w:rFonts w:eastAsia="Times New Roman"/>
        </w:rPr>
        <w:t>journey-making</w:t>
      </w:r>
      <w:r w:rsidRPr="0018658F">
        <w:rPr>
          <w:rFonts w:eastAsia="Times New Roman"/>
        </w:rPr>
        <w:t xml:space="preserve"> choices as non-disabled people. For this to happen, we need the law to chang</w:t>
      </w:r>
      <w:r w:rsidR="00B11BCF">
        <w:rPr>
          <w:rFonts w:eastAsia="Times New Roman"/>
        </w:rPr>
        <w:t xml:space="preserve">e. The Department for Transport is running a </w:t>
      </w:r>
      <w:hyperlink r:id="rId9" w:history="1">
        <w:r w:rsidR="00B11BCF" w:rsidRPr="00B11BCF">
          <w:rPr>
            <w:rStyle w:val="Hyperlink"/>
            <w:rFonts w:eastAsia="Times New Roman"/>
          </w:rPr>
          <w:t>consultation into changing mobility aid laws</w:t>
        </w:r>
      </w:hyperlink>
      <w:r w:rsidR="00B11BCF">
        <w:rPr>
          <w:rFonts w:eastAsia="Times New Roman"/>
        </w:rPr>
        <w:t xml:space="preserve">. </w:t>
      </w:r>
      <w:r w:rsidR="00B11BCF" w:rsidRPr="00B11BCF">
        <w:rPr>
          <w:lang w:val="en-US"/>
        </w:rPr>
        <w:t xml:space="preserve">The </w:t>
      </w:r>
      <w:r w:rsidR="00B11BCF">
        <w:rPr>
          <w:lang w:val="en-US"/>
        </w:rPr>
        <w:t>consultation deadline</w:t>
      </w:r>
      <w:r w:rsidR="00B11BCF" w:rsidRPr="00B11BCF">
        <w:rPr>
          <w:lang w:val="en-US"/>
        </w:rPr>
        <w:t xml:space="preserve"> is </w:t>
      </w:r>
      <w:r w:rsidR="009B3541">
        <w:rPr>
          <w:lang w:val="en-US"/>
        </w:rPr>
        <w:t>22</w:t>
      </w:r>
      <w:r w:rsidR="009B3541" w:rsidRPr="009B3541">
        <w:rPr>
          <w:vertAlign w:val="superscript"/>
          <w:lang w:val="en-US"/>
        </w:rPr>
        <w:t>nd</w:t>
      </w:r>
      <w:r w:rsidR="009B3541">
        <w:rPr>
          <w:lang w:val="en-US"/>
        </w:rPr>
        <w:t xml:space="preserve"> April 2026</w:t>
      </w:r>
      <w:r w:rsidR="00B11BCF" w:rsidRPr="00B11BCF">
        <w:rPr>
          <w:lang w:val="en-US"/>
        </w:rPr>
        <w:t>.</w:t>
      </w:r>
    </w:p>
    <w:p w14:paraId="6A15D4C5" w14:textId="71A6FEE7" w:rsidR="005818CC" w:rsidRPr="0018658F" w:rsidRDefault="00B46656" w:rsidP="00824915">
      <w:pPr>
        <w:rPr>
          <w:rFonts w:eastAsia="Times New Roman"/>
          <w:b/>
        </w:rPr>
      </w:pPr>
      <w:r w:rsidRPr="0018658F">
        <w:rPr>
          <w:rFonts w:eastAsia="Times New Roman"/>
          <w:b/>
        </w:rPr>
        <w:t xml:space="preserve">You can help </w:t>
      </w:r>
      <w:r w:rsidR="00B11BCF">
        <w:rPr>
          <w:rFonts w:eastAsia="Times New Roman"/>
          <w:b/>
        </w:rPr>
        <w:t>make changes to improve mobility options for all Disabled people</w:t>
      </w:r>
      <w:r w:rsidR="005818CC" w:rsidRPr="0018658F">
        <w:rPr>
          <w:rFonts w:eastAsia="Times New Roman"/>
          <w:b/>
        </w:rPr>
        <w:t>:</w:t>
      </w:r>
      <w:r w:rsidRPr="0018658F">
        <w:rPr>
          <w:rFonts w:eastAsia="Times New Roman"/>
          <w:b/>
        </w:rPr>
        <w:t xml:space="preserve"> </w:t>
      </w:r>
    </w:p>
    <w:p w14:paraId="0E422BA4" w14:textId="07DE8A9C" w:rsidR="0018658F" w:rsidRPr="0018658F" w:rsidRDefault="00BA29A1" w:rsidP="0018658F">
      <w:pPr>
        <w:pStyle w:val="ListParagraph"/>
        <w:numPr>
          <w:ilvl w:val="0"/>
          <w:numId w:val="22"/>
        </w:numPr>
        <w:rPr>
          <w:rFonts w:eastAsia="Times New Roman"/>
        </w:rPr>
      </w:pPr>
      <w:hyperlink r:id="rId10" w:history="1">
        <w:r w:rsidR="006119C7" w:rsidRPr="009B3541">
          <w:rPr>
            <w:rStyle w:val="Hyperlink"/>
            <w:rFonts w:eastAsia="Times New Roman"/>
            <w:b/>
          </w:rPr>
          <w:t>Read</w:t>
        </w:r>
        <w:r w:rsidR="0018658F" w:rsidRPr="009B3541">
          <w:rPr>
            <w:rStyle w:val="Hyperlink"/>
            <w:rFonts w:eastAsia="Times New Roman"/>
            <w:b/>
          </w:rPr>
          <w:t xml:space="preserve"> our explainers and recommendations</w:t>
        </w:r>
      </w:hyperlink>
      <w:r w:rsidR="0018658F" w:rsidRPr="006119C7">
        <w:rPr>
          <w:rFonts w:eastAsia="Times New Roman"/>
          <w:b/>
        </w:rPr>
        <w:t xml:space="preserve">. </w:t>
      </w:r>
      <w:r w:rsidR="0018658F" w:rsidRPr="0018658F">
        <w:rPr>
          <w:lang w:val="en-US"/>
        </w:rPr>
        <w:t xml:space="preserve">We are concerned </w:t>
      </w:r>
      <w:r w:rsidR="006119C7">
        <w:rPr>
          <w:lang w:val="en-US"/>
        </w:rPr>
        <w:t>about some o</w:t>
      </w:r>
      <w:r w:rsidR="0018658F">
        <w:rPr>
          <w:lang w:val="en-US"/>
        </w:rPr>
        <w:t>f the consultation wording and a lack of information on current laws in the consultation document</w:t>
      </w:r>
      <w:r w:rsidR="006119C7">
        <w:rPr>
          <w:lang w:val="en-US"/>
        </w:rPr>
        <w:t>. Without our extra information, case studies and links to other sources,</w:t>
      </w:r>
      <w:r w:rsidR="0018658F">
        <w:rPr>
          <w:lang w:val="en-US"/>
        </w:rPr>
        <w:t xml:space="preserve"> </w:t>
      </w:r>
      <w:r w:rsidR="006119C7">
        <w:rPr>
          <w:lang w:val="en-US"/>
        </w:rPr>
        <w:t>we’re worried</w:t>
      </w:r>
      <w:r w:rsidR="0018658F">
        <w:rPr>
          <w:lang w:val="en-US"/>
        </w:rPr>
        <w:t xml:space="preserve"> people could accidentally give answers that will cause problems for themselves or others.</w:t>
      </w:r>
    </w:p>
    <w:p w14:paraId="6F38FC50" w14:textId="2B2AF3E5" w:rsidR="00824915" w:rsidRPr="00B11BCF" w:rsidRDefault="006119C7" w:rsidP="0018658F">
      <w:pPr>
        <w:pStyle w:val="ListParagraph"/>
        <w:numPr>
          <w:ilvl w:val="0"/>
          <w:numId w:val="22"/>
        </w:numPr>
        <w:rPr>
          <w:lang w:val="en-US"/>
        </w:rPr>
      </w:pPr>
      <w:r w:rsidRPr="00B11BCF">
        <w:rPr>
          <w:rFonts w:eastAsia="Times New Roman"/>
          <w:b/>
        </w:rPr>
        <w:t>Once you’ve read and considered our explainers and recommendations</w:t>
      </w:r>
      <w:r w:rsidR="0018658F" w:rsidRPr="00B11BCF">
        <w:rPr>
          <w:rFonts w:eastAsia="Times New Roman"/>
          <w:b/>
        </w:rPr>
        <w:t xml:space="preserve">, please respond </w:t>
      </w:r>
      <w:r w:rsidR="00B46656" w:rsidRPr="00B11BCF">
        <w:rPr>
          <w:rFonts w:eastAsia="Times New Roman"/>
          <w:b/>
        </w:rPr>
        <w:t xml:space="preserve">to the </w:t>
      </w:r>
      <w:hyperlink r:id="rId11" w:history="1">
        <w:r w:rsidR="00B11BCF">
          <w:rPr>
            <w:rStyle w:val="Hyperlink"/>
            <w:b/>
            <w:lang w:val="en-US"/>
          </w:rPr>
          <w:t>Department for Transport’s consultation</w:t>
        </w:r>
      </w:hyperlink>
      <w:r w:rsidR="00824915" w:rsidRPr="00B11BCF">
        <w:rPr>
          <w:b/>
          <w:lang w:val="en-US"/>
        </w:rPr>
        <w:t>.</w:t>
      </w:r>
      <w:r w:rsidR="00824915" w:rsidRPr="0018658F">
        <w:rPr>
          <w:lang w:val="en-US"/>
        </w:rPr>
        <w:t xml:space="preserve"> </w:t>
      </w:r>
    </w:p>
    <w:p w14:paraId="78348A63" w14:textId="15A54465" w:rsidR="00824915" w:rsidRDefault="00824915" w:rsidP="005818CC">
      <w:pPr>
        <w:pStyle w:val="Quote"/>
        <w:spacing w:before="120" w:after="120"/>
        <w:rPr>
          <w:lang w:val="en-US"/>
        </w:rPr>
      </w:pPr>
      <w:r>
        <w:rPr>
          <w:lang w:val="en-US"/>
        </w:rPr>
        <w:t>The information in this sheet</w:t>
      </w:r>
      <w:r w:rsidRPr="00824915">
        <w:rPr>
          <w:lang w:val="en-US"/>
        </w:rPr>
        <w:t xml:space="preserve"> </w:t>
      </w:r>
      <w:r>
        <w:rPr>
          <w:lang w:val="en-US"/>
        </w:rPr>
        <w:t>directly links to</w:t>
      </w:r>
      <w:r w:rsidRPr="00824915">
        <w:rPr>
          <w:lang w:val="en-US"/>
        </w:rPr>
        <w:t xml:space="preserve"> consultation questions 20, 21 and 22, and indirectly </w:t>
      </w:r>
      <w:r>
        <w:rPr>
          <w:lang w:val="en-US"/>
        </w:rPr>
        <w:t>to</w:t>
      </w:r>
      <w:r w:rsidRPr="00824915">
        <w:rPr>
          <w:lang w:val="en-US"/>
        </w:rPr>
        <w:t xml:space="preserve"> a range of other questions</w:t>
      </w:r>
      <w:r>
        <w:rPr>
          <w:lang w:val="en-US"/>
        </w:rPr>
        <w:t>,</w:t>
      </w:r>
      <w:r w:rsidRPr="00824915">
        <w:rPr>
          <w:lang w:val="en-US"/>
        </w:rPr>
        <w:t xml:space="preserve"> including 10-13</w:t>
      </w:r>
      <w:r>
        <w:rPr>
          <w:lang w:val="en-US"/>
        </w:rPr>
        <w:t>.</w:t>
      </w:r>
    </w:p>
    <w:p w14:paraId="1990E37F" w14:textId="2EE2C17A" w:rsidR="00824915" w:rsidRPr="0018658F" w:rsidRDefault="00824915" w:rsidP="005818CC">
      <w:pPr>
        <w:pStyle w:val="Quote"/>
        <w:spacing w:before="120" w:after="120"/>
        <w:rPr>
          <w:b/>
          <w:lang w:val="en-US"/>
        </w:rPr>
      </w:pPr>
      <w:r w:rsidRPr="0018658F">
        <w:rPr>
          <w:b/>
          <w:lang w:val="en-US"/>
        </w:rPr>
        <w:t xml:space="preserve">We are releasing </w:t>
      </w:r>
      <w:hyperlink r:id="rId12" w:history="1">
        <w:r w:rsidRPr="0018658F">
          <w:rPr>
            <w:rStyle w:val="Hyperlink"/>
            <w:b/>
            <w:lang w:val="en-US"/>
          </w:rPr>
          <w:t>free resources about all areas of mobility aid regulations</w:t>
        </w:r>
      </w:hyperlink>
      <w:r w:rsidR="005818CC" w:rsidRPr="0018658F">
        <w:rPr>
          <w:b/>
          <w:lang w:val="en-US"/>
        </w:rPr>
        <w:t xml:space="preserve"> to cover all aspects of the consultation</w:t>
      </w:r>
      <w:r w:rsidR="0018658F" w:rsidRPr="0018658F">
        <w:rPr>
          <w:b/>
          <w:lang w:val="en-US"/>
        </w:rPr>
        <w:t xml:space="preserve"> as quickly as we can. </w:t>
      </w:r>
      <w:r w:rsidR="006119C7">
        <w:rPr>
          <w:b/>
          <w:lang w:val="en-US"/>
        </w:rPr>
        <w:t>Resources include written information, case studies, graphics, social media and webinars</w:t>
      </w:r>
      <w:r w:rsidR="0018658F" w:rsidRPr="0018658F">
        <w:rPr>
          <w:b/>
          <w:lang w:val="en-US"/>
        </w:rPr>
        <w:t>.</w:t>
      </w:r>
    </w:p>
    <w:p w14:paraId="102E36BF" w14:textId="3343B9B6" w:rsidR="00FC0E2D" w:rsidRDefault="00FC0E2D" w:rsidP="00FC0E2D">
      <w:pPr>
        <w:rPr>
          <w:rFonts w:eastAsia="Times New Roman"/>
        </w:rPr>
      </w:pPr>
      <w:r w:rsidRPr="00B216B5">
        <w:rPr>
          <w:rFonts w:eastAsia="Times New Roman"/>
          <w:b/>
        </w:rPr>
        <w:t>Follow all our information updates</w:t>
      </w:r>
      <w:r>
        <w:rPr>
          <w:rFonts w:eastAsia="Times New Roman"/>
        </w:rPr>
        <w:t xml:space="preserve"> and find out more about </w:t>
      </w:r>
      <w:r w:rsidR="00B216B5">
        <w:rPr>
          <w:rFonts w:eastAsia="Times New Roman"/>
        </w:rPr>
        <w:t xml:space="preserve">how </w:t>
      </w:r>
      <w:r>
        <w:rPr>
          <w:rFonts w:eastAsia="Times New Roman"/>
        </w:rPr>
        <w:t>changes to the law can improve mobility for Disabled people @</w:t>
      </w:r>
      <w:proofErr w:type="spellStart"/>
      <w:r>
        <w:rPr>
          <w:rFonts w:eastAsia="Times New Roman"/>
        </w:rPr>
        <w:t>WheelsForWellbeing</w:t>
      </w:r>
      <w:proofErr w:type="spellEnd"/>
      <w:r>
        <w:rPr>
          <w:rFonts w:eastAsia="Times New Roman"/>
        </w:rPr>
        <w:t xml:space="preserve"> on </w:t>
      </w:r>
      <w:proofErr w:type="spellStart"/>
      <w:r>
        <w:rPr>
          <w:rFonts w:eastAsia="Times New Roman"/>
        </w:rPr>
        <w:t>Bluesky</w:t>
      </w:r>
      <w:proofErr w:type="spellEnd"/>
      <w:r>
        <w:rPr>
          <w:rFonts w:eastAsia="Times New Roman"/>
        </w:rPr>
        <w:t>, LinkedIn, Instagram and Facebook</w:t>
      </w:r>
      <w:r w:rsidR="00824915">
        <w:rPr>
          <w:rFonts w:eastAsia="Times New Roman"/>
        </w:rPr>
        <w:t>.</w:t>
      </w:r>
    </w:p>
    <w:p w14:paraId="53DDA392" w14:textId="686509B4" w:rsidR="000347B4" w:rsidRDefault="00B216B5" w:rsidP="00FC0E2D">
      <w:pPr>
        <w:rPr>
          <w:rFonts w:eastAsia="Times New Roman"/>
        </w:rPr>
      </w:pPr>
      <w:r w:rsidRPr="000347B4">
        <w:rPr>
          <w:rFonts w:eastAsia="Times New Roman"/>
          <w:b/>
        </w:rPr>
        <w:t>Contact us</w:t>
      </w:r>
      <w:r>
        <w:rPr>
          <w:rFonts w:eastAsia="Times New Roman"/>
        </w:rPr>
        <w:t xml:space="preserve"> with comments, questions and suggestions at </w:t>
      </w:r>
      <w:hyperlink r:id="rId13" w:history="1">
        <w:r w:rsidRPr="00E8660C">
          <w:rPr>
            <w:rStyle w:val="Hyperlink"/>
            <w:rFonts w:eastAsia="Times New Roman"/>
          </w:rPr>
          <w:t>info@wheelsforwellbeing.org</w:t>
        </w:r>
      </w:hyperlink>
      <w:r w:rsidR="000347B4">
        <w:rPr>
          <w:rFonts w:eastAsia="Times New Roman"/>
        </w:rPr>
        <w:t>.</w:t>
      </w:r>
    </w:p>
    <w:p w14:paraId="7702894C" w14:textId="77777777" w:rsidR="005818CC" w:rsidRDefault="00BA29A1" w:rsidP="00FC0E2D">
      <w:hyperlink r:id="rId14" w:history="1">
        <w:r w:rsidR="000347B4" w:rsidRPr="000347B4">
          <w:rPr>
            <w:rStyle w:val="Hyperlink"/>
            <w:rFonts w:eastAsia="Times New Roman"/>
            <w:b/>
          </w:rPr>
          <w:t>J</w:t>
        </w:r>
        <w:r w:rsidR="00B216B5" w:rsidRPr="000347B4">
          <w:rPr>
            <w:rStyle w:val="Hyperlink"/>
            <w:rFonts w:eastAsia="Times New Roman"/>
            <w:b/>
          </w:rPr>
          <w:t xml:space="preserve">oin our free peer-support campaigning </w:t>
        </w:r>
        <w:r w:rsidR="000347B4">
          <w:rPr>
            <w:rStyle w:val="Hyperlink"/>
            <w:rFonts w:eastAsia="Times New Roman"/>
            <w:b/>
          </w:rPr>
          <w:t>forum</w:t>
        </w:r>
      </w:hyperlink>
      <w:r w:rsidR="00B216B5">
        <w:rPr>
          <w:rFonts w:eastAsia="Times New Roman"/>
        </w:rPr>
        <w:t xml:space="preserve"> for Disabled people and allies.</w:t>
      </w:r>
      <w:r w:rsidR="005818CC" w:rsidRPr="005818CC">
        <w:t xml:space="preserve"> </w:t>
      </w:r>
    </w:p>
    <w:p w14:paraId="3F3FC3DD" w14:textId="2612EE91" w:rsidR="00B216B5" w:rsidRDefault="00BA29A1" w:rsidP="00FC0E2D">
      <w:pPr>
        <w:rPr>
          <w:rFonts w:eastAsia="Times New Roman"/>
        </w:rPr>
      </w:pPr>
      <w:hyperlink r:id="rId15" w:history="1">
        <w:r w:rsidR="005818CC" w:rsidRPr="005818CC">
          <w:rPr>
            <w:rStyle w:val="Hyperlink"/>
            <w:rFonts w:eastAsia="Times New Roman"/>
            <w:b/>
          </w:rPr>
          <w:t xml:space="preserve">Sign up for our newsletter </w:t>
        </w:r>
        <w:r w:rsidR="005818CC" w:rsidRPr="00FC0E2D">
          <w:rPr>
            <w:rStyle w:val="Hyperlink"/>
            <w:rFonts w:eastAsia="Times New Roman"/>
          </w:rPr>
          <w:t>(bottom of page)</w:t>
        </w:r>
      </w:hyperlink>
    </w:p>
    <w:p w14:paraId="1F8DBF89" w14:textId="28648354" w:rsidR="004B521F" w:rsidRDefault="007767F7" w:rsidP="005818CC">
      <w:pPr>
        <w:pStyle w:val="IntenseQuote"/>
        <w:spacing w:before="120" w:after="120"/>
      </w:pPr>
      <w:r w:rsidRPr="004B521F">
        <w:t xml:space="preserve">Please </w:t>
      </w:r>
      <w:hyperlink r:id="rId16" w:history="1">
        <w:r w:rsidRPr="004B521F">
          <w:rPr>
            <w:rStyle w:val="Hyperlink"/>
            <w:rFonts w:eastAsia="Times New Roman"/>
            <w:b/>
          </w:rPr>
          <w:t>donate to support our work</w:t>
        </w:r>
      </w:hyperlink>
      <w:r w:rsidRPr="004B521F">
        <w:t xml:space="preserve"> if you </w:t>
      </w:r>
      <w:r w:rsidR="00B216B5">
        <w:t>can</w:t>
      </w:r>
      <w:r w:rsidRPr="004B521F">
        <w:t>:</w:t>
      </w:r>
      <w:r>
        <w:t xml:space="preserve"> </w:t>
      </w:r>
    </w:p>
    <w:p w14:paraId="2C4F2657" w14:textId="77777777" w:rsidR="006F39FB" w:rsidRDefault="00A81870" w:rsidP="005818CC">
      <w:pPr>
        <w:pStyle w:val="IntenseQuote"/>
        <w:spacing w:before="120" w:after="120"/>
      </w:pPr>
      <w:r>
        <w:t xml:space="preserve">Wheels for Wellbeing is </w:t>
      </w:r>
      <w:r w:rsidR="007767F7">
        <w:t xml:space="preserve">a small </w:t>
      </w:r>
      <w:r>
        <w:t xml:space="preserve">Disabled People’s Organisation – a </w:t>
      </w:r>
      <w:r w:rsidR="007767F7">
        <w:t>charity</w:t>
      </w:r>
      <w:r w:rsidR="004B521F">
        <w:t xml:space="preserve"> run by and for Disabled people. We </w:t>
      </w:r>
      <w:r w:rsidR="007767F7">
        <w:t xml:space="preserve">depend on donations </w:t>
      </w:r>
      <w:r>
        <w:t>for our campaigning work</w:t>
      </w:r>
      <w:r w:rsidR="006F39FB">
        <w:t>: very</w:t>
      </w:r>
      <w:r>
        <w:t xml:space="preserve"> few grants are available</w:t>
      </w:r>
      <w:r w:rsidR="006F39FB">
        <w:t xml:space="preserve"> for campaigning</w:t>
      </w:r>
      <w:r>
        <w:t xml:space="preserve">. </w:t>
      </w:r>
    </w:p>
    <w:p w14:paraId="4188846F" w14:textId="149DAFA4" w:rsidR="007767F7" w:rsidRDefault="00A81870" w:rsidP="005818CC">
      <w:pPr>
        <w:pStyle w:val="IntenseQuote"/>
        <w:spacing w:before="120" w:after="120"/>
      </w:pPr>
      <w:r>
        <w:t xml:space="preserve">Any </w:t>
      </w:r>
      <w:r w:rsidR="00B216B5">
        <w:t xml:space="preserve">donation you can make </w:t>
      </w:r>
      <w:r w:rsidR="005818CC">
        <w:t xml:space="preserve">helps </w:t>
      </w:r>
      <w:r>
        <w:t xml:space="preserve">us keep working to achieve mobility </w:t>
      </w:r>
      <w:r w:rsidR="00B46656">
        <w:t>justice</w:t>
      </w:r>
      <w:r>
        <w:t xml:space="preserve"> for all</w:t>
      </w:r>
      <w:r w:rsidR="007767F7">
        <w:t xml:space="preserve">. </w:t>
      </w:r>
    </w:p>
    <w:p w14:paraId="3CAD9110" w14:textId="2E391E41" w:rsidR="007767F7" w:rsidRPr="00B216B5" w:rsidRDefault="007767F7" w:rsidP="005818CC">
      <w:pPr>
        <w:pStyle w:val="IntenseQuote"/>
        <w:spacing w:before="120" w:after="120"/>
        <w:rPr>
          <w:b/>
        </w:rPr>
      </w:pPr>
      <w:r w:rsidRPr="00B216B5">
        <w:rPr>
          <w:b/>
        </w:rPr>
        <w:t>#</w:t>
      </w:r>
      <w:proofErr w:type="spellStart"/>
      <w:r w:rsidRPr="00B216B5">
        <w:rPr>
          <w:b/>
        </w:rPr>
        <w:t>MobilityJustice</w:t>
      </w:r>
      <w:proofErr w:type="spellEnd"/>
      <w:r w:rsidRPr="00B216B5">
        <w:rPr>
          <w:b/>
        </w:rPr>
        <w:t xml:space="preserve"> #</w:t>
      </w:r>
      <w:proofErr w:type="spellStart"/>
      <w:r w:rsidRPr="00B216B5">
        <w:rPr>
          <w:b/>
        </w:rPr>
        <w:t>EveryJourneyEveryone</w:t>
      </w:r>
      <w:bookmarkEnd w:id="2"/>
      <w:proofErr w:type="spellEnd"/>
    </w:p>
    <w:sectPr w:rsidR="007767F7" w:rsidRPr="00B216B5" w:rsidSect="00E11D82">
      <w:headerReference w:type="default" r:id="rId17"/>
      <w:footerReference w:type="default" r:id="rId18"/>
      <w:headerReference w:type="first" r:id="rId19"/>
      <w:footerReference w:type="first" r:id="rId20"/>
      <w:endnotePr>
        <w:numFmt w:val="decimal"/>
      </w:endnotePr>
      <w:type w:val="continuous"/>
      <w:pgSz w:w="11906" w:h="16838"/>
      <w:pgMar w:top="1191" w:right="1077" w:bottom="851" w:left="107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2BCAA" w14:textId="77777777" w:rsidR="00C57936" w:rsidRDefault="00C57936" w:rsidP="00D138FA">
      <w:pPr>
        <w:spacing w:after="0" w:line="240" w:lineRule="auto"/>
      </w:pPr>
      <w:r>
        <w:separator/>
      </w:r>
    </w:p>
  </w:endnote>
  <w:endnote w:type="continuationSeparator" w:id="0">
    <w:p w14:paraId="2F528DD3" w14:textId="77777777" w:rsidR="00C57936" w:rsidRDefault="00C57936" w:rsidP="00D138FA">
      <w:pPr>
        <w:spacing w:after="0" w:line="240" w:lineRule="auto"/>
      </w:pPr>
      <w:r>
        <w:continuationSeparator/>
      </w:r>
    </w:p>
  </w:endnote>
  <w:endnote w:id="1">
    <w:p w14:paraId="6EC9AC88" w14:textId="57299091" w:rsidR="004B58B1" w:rsidRPr="004B58B1" w:rsidRDefault="004B58B1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Mental Capacity Act 2005 </w:t>
      </w:r>
      <w:hyperlink r:id="rId1" w:history="1">
        <w:r w:rsidRPr="006B5F23">
          <w:rPr>
            <w:rStyle w:val="Hyperlink"/>
            <w:lang w:val="en-US"/>
          </w:rPr>
          <w:t>https://www.legislation.gov.uk/ukpga/2005/9/contents</w:t>
        </w:r>
      </w:hyperlink>
    </w:p>
  </w:endnote>
  <w:endnote w:id="2">
    <w:p w14:paraId="0EB2257A" w14:textId="06511DCF" w:rsidR="00306A2F" w:rsidRPr="00306A2F" w:rsidRDefault="00306A2F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Wheels for Wellbeing Quick Guide to the Equality Act 2010 </w:t>
      </w:r>
      <w:hyperlink r:id="rId2" w:history="1">
        <w:r w:rsidRPr="006B5F23">
          <w:rPr>
            <w:rStyle w:val="Hyperlink"/>
            <w:lang w:val="en-US"/>
          </w:rPr>
          <w:t>https://wheelsforwellbeing.org.uk/wheels-for-wellbeing-quick-guide-to-the-equality-act-2010/</w:t>
        </w:r>
      </w:hyperlink>
    </w:p>
  </w:endnote>
  <w:endnote w:id="3">
    <w:p w14:paraId="07F79D00" w14:textId="1F06EE9F" w:rsidR="009F68D0" w:rsidRPr="009F68D0" w:rsidRDefault="009F68D0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Wheels for Wellbeing Quick Guide to the Public Sector Equality Duty </w:t>
      </w:r>
      <w:hyperlink r:id="rId3" w:history="1">
        <w:r w:rsidRPr="00296B89">
          <w:rPr>
            <w:rStyle w:val="Hyperlink"/>
            <w:lang w:val="en-US"/>
          </w:rPr>
          <w:t>https://wheelsforwellbeing.org.uk/wheels-for-wellbeing-quick-guide-to-the-public-sector-equality-duty/</w:t>
        </w:r>
      </w:hyperlink>
      <w:r>
        <w:rPr>
          <w:lang w:val="en-US"/>
        </w:rPr>
        <w:t xml:space="preserve"> </w:t>
      </w:r>
    </w:p>
  </w:endnote>
  <w:endnote w:id="4">
    <w:p w14:paraId="4627D3B0" w14:textId="1DC22294" w:rsidR="009F68D0" w:rsidRPr="009F68D0" w:rsidRDefault="009F68D0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BS EN 12184:2022 Electrically powered wheelchair, scooters and their chargers. Requirements and test methods </w:t>
      </w:r>
      <w:hyperlink r:id="rId4" w:history="1">
        <w:r w:rsidRPr="00E8660C">
          <w:rPr>
            <w:rStyle w:val="Hyperlink"/>
            <w:lang w:val="en-US"/>
          </w:rPr>
          <w:t>https://knowledge.bsigroup.com/products/electrically-powered-wheelchairs-scooters-and-their-chargers-requirements-and-test-methods</w:t>
        </w:r>
      </w:hyperlink>
    </w:p>
  </w:endnote>
  <w:endnote w:id="5">
    <w:p w14:paraId="56F5F4D0" w14:textId="2D8EBF59" w:rsidR="00B917C3" w:rsidRPr="00B917C3" w:rsidRDefault="00B917C3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See </w:t>
      </w:r>
      <w:r>
        <w:rPr>
          <w:lang w:val="en-US"/>
        </w:rPr>
        <w:t xml:space="preserve">Wheels for Wellbeing my mobility device information and sources spreadsheet for further references and explanations: </w:t>
      </w:r>
      <w:hyperlink r:id="rId5" w:history="1">
        <w:r w:rsidRPr="00296B89">
          <w:rPr>
            <w:rStyle w:val="Hyperlink"/>
            <w:lang w:val="en-US"/>
          </w:rPr>
          <w:t>https://wheelsforwellbeing.org.uk/wp-content/uploads/2026/02/My-Mobility-device-information-and-sources-v06.xlsx</w:t>
        </w:r>
      </w:hyperlink>
      <w:r>
        <w:rPr>
          <w:lang w:val="en-US"/>
        </w:rPr>
        <w:t xml:space="preserve"> </w:t>
      </w:r>
    </w:p>
  </w:endnote>
  <w:endnote w:id="6">
    <w:p w14:paraId="16756BAA" w14:textId="5A164819" w:rsidR="0098285E" w:rsidRPr="0098285E" w:rsidRDefault="0098285E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In 2025, the government announced £30M funding for “Bikeability” training for children, and £8.5M for organisations to promote “walking, wheeling and cycling initiatives in schools and communities” </w:t>
      </w:r>
      <w:hyperlink r:id="rId6" w:history="1">
        <w:r w:rsidRPr="00296B89">
          <w:rPr>
            <w:rStyle w:val="Hyperlink"/>
            <w:lang w:val="en-US"/>
          </w:rPr>
          <w:t>https://www.gov.uk/government/news/almost-300-million-to-gear-up-new-walking-wheeling-and-cycling-schemes</w:t>
        </w:r>
      </w:hyperlink>
      <w:r>
        <w:rPr>
          <w:lang w:val="en-US"/>
        </w:rPr>
        <w:t xml:space="preserve"> </w:t>
      </w:r>
    </w:p>
  </w:endnote>
  <w:endnote w:id="7">
    <w:p w14:paraId="5FD5F2FD" w14:textId="2261E530" w:rsidR="0098285E" w:rsidRPr="0098285E" w:rsidRDefault="0098285E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Events promoting above-walking-speed mobility for children that are supported by government funding (reference above) include Walk Wheel Cycle Trust’s “Big Walk and Wheel” promoting “walking, wheeling, scooting and cycling to school” </w:t>
      </w:r>
      <w:hyperlink r:id="rId7" w:history="1">
        <w:r w:rsidRPr="00296B89">
          <w:rPr>
            <w:rStyle w:val="Hyperlink"/>
            <w:lang w:val="en-US"/>
          </w:rPr>
          <w:t>https://bigwalkandwheel.org.uk/</w:t>
        </w:r>
      </w:hyperlink>
      <w:r>
        <w:rPr>
          <w:lang w:val="en-US"/>
        </w:rPr>
        <w:t xml:space="preserve"> and </w:t>
      </w:r>
      <w:proofErr w:type="spellStart"/>
      <w:r>
        <w:rPr>
          <w:lang w:val="en-US"/>
        </w:rPr>
        <w:t>Bikeability’s</w:t>
      </w:r>
      <w:proofErr w:type="spellEnd"/>
      <w:r>
        <w:rPr>
          <w:lang w:val="en-US"/>
        </w:rPr>
        <w:t xml:space="preserve"> “Cycle to School Week” </w:t>
      </w:r>
      <w:hyperlink r:id="rId8" w:history="1">
        <w:r w:rsidRPr="00296B89">
          <w:rPr>
            <w:rStyle w:val="Hyperlink"/>
            <w:lang w:val="en-US"/>
          </w:rPr>
          <w:t>https://www.bikeability.org.uk/cycletoschoolweek/</w:t>
        </w:r>
      </w:hyperlink>
      <w:r>
        <w:rPr>
          <w:lang w:val="en-US"/>
        </w:rPr>
        <w:t xml:space="preserve"> </w:t>
      </w:r>
    </w:p>
  </w:endnote>
  <w:endnote w:id="8">
    <w:p w14:paraId="7D454106" w14:textId="464B72A8" w:rsidR="002065B1" w:rsidRPr="002065B1" w:rsidRDefault="002065B1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="00050172">
        <w:t xml:space="preserve">E.g. Luci system: </w:t>
      </w:r>
      <w:hyperlink r:id="rId9" w:history="1">
        <w:r w:rsidR="00050172" w:rsidRPr="00296B89">
          <w:rPr>
            <w:rStyle w:val="Hyperlink"/>
          </w:rPr>
          <w:t>https://luci.com/</w:t>
        </w:r>
      </w:hyperlink>
      <w:r w:rsidR="00050172">
        <w:t xml:space="preserve"> </w:t>
      </w:r>
    </w:p>
  </w:endnote>
  <w:endnote w:id="9">
    <w:p w14:paraId="0ED4173E" w14:textId="1AFD8C2E" w:rsidR="00050172" w:rsidRPr="00050172" w:rsidRDefault="00050172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Smile Smart System powerchairs: </w:t>
      </w:r>
      <w:hyperlink r:id="rId10" w:history="1">
        <w:r>
          <w:rPr>
            <w:rStyle w:val="Hyperlink"/>
          </w:rPr>
          <w:t>https://www.smilesmart-tech.com/product/smilesmartsystem-powerchairs/</w:t>
        </w:r>
      </w:hyperlink>
      <w:r>
        <w:t xml:space="preserve"> </w:t>
      </w:r>
    </w:p>
  </w:endnote>
  <w:endnote w:id="10">
    <w:p w14:paraId="0D38047C" w14:textId="685E77D6" w:rsidR="00050172" w:rsidRPr="00050172" w:rsidRDefault="00050172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Thiis.co.uk 2026 “best of innovation winner defines a new category of smart mobility vehicle” </w:t>
      </w:r>
      <w:hyperlink r:id="rId11" w:history="1">
        <w:r w:rsidRPr="00296B89">
          <w:rPr>
            <w:rStyle w:val="Hyperlink"/>
            <w:lang w:val="en-US"/>
          </w:rPr>
          <w:t>https://thiis.co.uk/ces-2026-best-of-innovation-winner-defines-a-new-category-of-smart-mobility-vehicle/</w:t>
        </w:r>
      </w:hyperlink>
      <w:r>
        <w:rPr>
          <w:lang w:val="en-US"/>
        </w:rPr>
        <w:t xml:space="preserve"> </w:t>
      </w:r>
    </w:p>
  </w:endnote>
  <w:endnote w:id="11">
    <w:p w14:paraId="44180694" w14:textId="74ECFB20" w:rsidR="009B3541" w:rsidRPr="009B3541" w:rsidRDefault="009B3541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Wheels for Wellbeing Quick Guide to the Equality Act 2010 </w:t>
      </w:r>
      <w:hyperlink r:id="rId12" w:history="1">
        <w:r w:rsidRPr="006B5F23">
          <w:rPr>
            <w:rStyle w:val="Hyperlink"/>
            <w:lang w:val="en-US"/>
          </w:rPr>
          <w:t>https://wheelsforwellbeing.org.uk/wheels-for-wellbeing-quick-guide-to-the-equality-act-2010/</w:t>
        </w:r>
      </w:hyperlink>
    </w:p>
  </w:endnote>
  <w:endnote w:id="12">
    <w:p w14:paraId="3D261D0E" w14:textId="33FBFA8C" w:rsidR="00702EF2" w:rsidRPr="00702EF2" w:rsidRDefault="00702EF2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Mental Capacity Act 2005 </w:t>
      </w:r>
      <w:hyperlink r:id="rId13" w:history="1">
        <w:r w:rsidRPr="006B5F23">
          <w:rPr>
            <w:rStyle w:val="Hyperlink"/>
            <w:lang w:val="en-US"/>
          </w:rPr>
          <w:t>https://www.legislation.gov.uk/ukpga/2005/9/contents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65FF6" w14:textId="1DC6294F" w:rsidR="00543A6E" w:rsidRPr="00EE7DE5" w:rsidRDefault="00543A6E" w:rsidP="00CA1238">
    <w:pPr>
      <w:pStyle w:val="Footer"/>
      <w:shd w:val="clear" w:color="auto" w:fill="00335B" w:themeFill="text2" w:themeFillShade="80"/>
      <w:jc w:val="right"/>
      <w:rPr>
        <w:color w:val="FFFFFF" w:themeColor="background1"/>
        <w:lang w:val="en-US"/>
      </w:rPr>
    </w:pPr>
    <w:r w:rsidRPr="00EE7DE5">
      <w:rPr>
        <w:color w:val="FFFFFF" w:themeColor="background1"/>
        <w:lang w:val="en-US"/>
      </w:rPr>
      <w:fldChar w:fldCharType="begin"/>
    </w:r>
    <w:r w:rsidRPr="00EE7DE5">
      <w:rPr>
        <w:color w:val="FFFFFF" w:themeColor="background1"/>
        <w:lang w:val="en-US"/>
      </w:rPr>
      <w:instrText xml:space="preserve"> PAGE   \* MERGEFORMAT </w:instrText>
    </w:r>
    <w:r w:rsidRPr="00EE7DE5">
      <w:rPr>
        <w:color w:val="FFFFFF" w:themeColor="background1"/>
        <w:lang w:val="en-US"/>
      </w:rPr>
      <w:fldChar w:fldCharType="separate"/>
    </w:r>
    <w:r w:rsidRPr="00EE7DE5">
      <w:rPr>
        <w:noProof/>
        <w:color w:val="FFFFFF" w:themeColor="background1"/>
        <w:lang w:val="en-US"/>
      </w:rPr>
      <w:t>1</w:t>
    </w:r>
    <w:r w:rsidRPr="00EE7DE5">
      <w:rPr>
        <w:noProof/>
        <w:color w:val="FFFFFF" w:themeColor="background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5B6C2" w14:textId="4477AC3E" w:rsidR="00985969" w:rsidRDefault="00985969" w:rsidP="00985969">
    <w:pPr>
      <w:pStyle w:val="Footer"/>
      <w:shd w:val="clear" w:color="auto" w:fill="00335B" w:themeFill="text2" w:themeFillShade="80"/>
      <w:rPr>
        <w:color w:val="FFFFFF" w:themeColor="background1"/>
        <w:lang w:val="en-US"/>
      </w:rPr>
    </w:pPr>
    <w:r>
      <w:rPr>
        <w:color w:val="FFFFFF" w:themeColor="background1"/>
        <w:lang w:val="en-US"/>
      </w:rPr>
      <w:t>Wheels for Wellbeing – Charity no. 1120905 / Company no. 06288610</w:t>
    </w:r>
    <w:r>
      <w:rPr>
        <w:color w:val="FFFFFF" w:themeColor="background1"/>
        <w:lang w:val="en-US"/>
      </w:rPr>
      <w:tab/>
      <w:t xml:space="preserve">  ref </w:t>
    </w:r>
    <w:r w:rsidR="00054403">
      <w:rPr>
        <w:color w:val="FFFFFF" w:themeColor="background1"/>
        <w:lang w:val="en-US"/>
      </w:rPr>
      <w:t>cs</w:t>
    </w:r>
    <w:r w:rsidR="00E74344">
      <w:rPr>
        <w:color w:val="FFFFFF" w:themeColor="background1"/>
        <w:lang w:val="en-US"/>
      </w:rPr>
      <w:t>9</w:t>
    </w:r>
    <w:r w:rsidR="00054403">
      <w:rPr>
        <w:color w:val="FFFFFF" w:themeColor="background1"/>
        <w:lang w:val="en-US"/>
      </w:rPr>
      <w:t>0</w:t>
    </w:r>
    <w:r w:rsidR="006E444B">
      <w:rPr>
        <w:color w:val="FFFFFF" w:themeColor="background1"/>
        <w:lang w:val="en-US"/>
      </w:rPr>
      <w:t>3</w:t>
    </w:r>
    <w:r w:rsidR="00054403">
      <w:rPr>
        <w:color w:val="FFFFFF" w:themeColor="background1"/>
        <w:lang w:val="en-US"/>
      </w:rPr>
      <w:t>/2026</w:t>
    </w:r>
  </w:p>
  <w:p w14:paraId="36E139F9" w14:textId="77777777" w:rsidR="00985969" w:rsidRPr="00EE7DE5" w:rsidRDefault="00985969" w:rsidP="00985969">
    <w:pPr>
      <w:pStyle w:val="Footer"/>
      <w:shd w:val="clear" w:color="auto" w:fill="00335B" w:themeFill="text2" w:themeFillShade="80"/>
      <w:rPr>
        <w:color w:val="FFFFFF" w:themeColor="background1"/>
        <w:lang w:val="en-US"/>
      </w:rPr>
    </w:pPr>
    <w:r w:rsidRPr="00EE7DE5">
      <w:rPr>
        <w:color w:val="FFFFFF" w:themeColor="background1"/>
        <w:lang w:val="en-US"/>
      </w:rPr>
      <w:tab/>
    </w:r>
    <w:r>
      <w:rPr>
        <w:color w:val="FFFFFF" w:themeColor="background1"/>
        <w:lang w:val="en-US"/>
      </w:rPr>
      <w:t>© Wheels for Wellbeing. All rights reserved</w:t>
    </w:r>
  </w:p>
  <w:p w14:paraId="13B4E51C" w14:textId="351B735E" w:rsidR="00CA1238" w:rsidRPr="00985969" w:rsidRDefault="00CA1238" w:rsidP="00985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E877E" w14:textId="77777777" w:rsidR="00C57936" w:rsidRDefault="00C57936" w:rsidP="00D138FA">
      <w:pPr>
        <w:spacing w:after="0" w:line="240" w:lineRule="auto"/>
      </w:pPr>
      <w:r>
        <w:separator/>
      </w:r>
    </w:p>
  </w:footnote>
  <w:footnote w:type="continuationSeparator" w:id="0">
    <w:p w14:paraId="62FFCE94" w14:textId="77777777" w:rsidR="00C57936" w:rsidRDefault="00C57936" w:rsidP="00D1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ACF53" w14:textId="57E3B987" w:rsidR="00543A6E" w:rsidRDefault="00543A6E" w:rsidP="00526C68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F04EB" w14:textId="23E621FB" w:rsidR="00CA1238" w:rsidRPr="00985969" w:rsidRDefault="00985969" w:rsidP="00985969">
    <w:pPr>
      <w:pStyle w:val="Header"/>
      <w:spacing w:after="240"/>
      <w:jc w:val="right"/>
    </w:pPr>
    <w:r>
      <w:rPr>
        <w:noProof/>
      </w:rPr>
      <w:t xml:space="preserve">Page </w:t>
    </w:r>
    <w:r w:rsidRPr="006A5AAD">
      <w:rPr>
        <w:b/>
        <w:bCs/>
        <w:noProof/>
      </w:rPr>
      <w:fldChar w:fldCharType="begin"/>
    </w:r>
    <w:r w:rsidRPr="006A5AAD">
      <w:rPr>
        <w:b/>
        <w:bCs/>
        <w:noProof/>
      </w:rPr>
      <w:instrText xml:space="preserve"> PAGE  \* Arabic  \* MERGEFORMAT </w:instrText>
    </w:r>
    <w:r w:rsidRPr="006A5AAD">
      <w:rPr>
        <w:b/>
        <w:bCs/>
        <w:noProof/>
      </w:rPr>
      <w:fldChar w:fldCharType="separate"/>
    </w:r>
    <w:r>
      <w:rPr>
        <w:b/>
        <w:bCs/>
        <w:noProof/>
      </w:rPr>
      <w:t>1</w:t>
    </w:r>
    <w:r w:rsidRPr="006A5AAD">
      <w:rPr>
        <w:b/>
        <w:bCs/>
        <w:noProof/>
      </w:rPr>
      <w:fldChar w:fldCharType="end"/>
    </w:r>
    <w:r>
      <w:rPr>
        <w:noProof/>
      </w:rPr>
      <w:t xml:space="preserve"> of </w:t>
    </w:r>
    <w:r w:rsidRPr="006A5AAD">
      <w:rPr>
        <w:b/>
        <w:bCs/>
        <w:noProof/>
      </w:rPr>
      <w:fldChar w:fldCharType="begin"/>
    </w:r>
    <w:r w:rsidRPr="006A5AAD">
      <w:rPr>
        <w:b/>
        <w:bCs/>
        <w:noProof/>
      </w:rPr>
      <w:instrText xml:space="preserve"> NUMPAGES  \* Arabic  \* MERGEFORMAT </w:instrText>
    </w:r>
    <w:r w:rsidRPr="006A5AAD">
      <w:rPr>
        <w:b/>
        <w:bCs/>
        <w:noProof/>
      </w:rPr>
      <w:fldChar w:fldCharType="separate"/>
    </w:r>
    <w:r>
      <w:rPr>
        <w:b/>
        <w:bCs/>
        <w:noProof/>
      </w:rPr>
      <w:t>10</w:t>
    </w:r>
    <w:r w:rsidRPr="006A5AAD">
      <w:rPr>
        <w:b/>
        <w:bCs/>
        <w:noProof/>
      </w:rPr>
      <w:fldChar w:fldCharType="end"/>
    </w:r>
    <w:r>
      <w:rPr>
        <w:b/>
        <w:bCs/>
        <w:noProof/>
      </w:rPr>
      <w:tab/>
    </w:r>
    <w:r>
      <w:rPr>
        <w:b/>
        <w:bCs/>
        <w:noProof/>
      </w:rPr>
      <w:tab/>
    </w:r>
    <w:r>
      <w:rPr>
        <w:noProof/>
      </w:rPr>
      <w:drawing>
        <wp:inline distT="0" distB="0" distL="0" distR="0" wp14:anchorId="549115A1" wp14:editId="5CF7A79D">
          <wp:extent cx="1392084" cy="417625"/>
          <wp:effectExtent l="0" t="0" r="0" b="1905"/>
          <wp:docPr id="1" name="Picture 1" descr="Wheels for Wellbeing logo has a blue and orange wheel with the words &quot;Wheels for Wellbeing&quot; to the 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70" cy="422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F7B25"/>
    <w:multiLevelType w:val="hybridMultilevel"/>
    <w:tmpl w:val="8A521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7537F"/>
    <w:multiLevelType w:val="hybridMultilevel"/>
    <w:tmpl w:val="EECA4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2082"/>
    <w:multiLevelType w:val="hybridMultilevel"/>
    <w:tmpl w:val="AB103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61A74"/>
    <w:multiLevelType w:val="hybridMultilevel"/>
    <w:tmpl w:val="F24A8388"/>
    <w:lvl w:ilvl="0" w:tplc="E1FE63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84201A1"/>
    <w:multiLevelType w:val="hybridMultilevel"/>
    <w:tmpl w:val="47C83E9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382430"/>
    <w:multiLevelType w:val="hybridMultilevel"/>
    <w:tmpl w:val="5C3E3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B3156"/>
    <w:multiLevelType w:val="hybridMultilevel"/>
    <w:tmpl w:val="C2105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D2E57"/>
    <w:multiLevelType w:val="hybridMultilevel"/>
    <w:tmpl w:val="14882704"/>
    <w:lvl w:ilvl="0" w:tplc="9684D4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815A6"/>
    <w:multiLevelType w:val="hybridMultilevel"/>
    <w:tmpl w:val="3D368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753B3"/>
    <w:multiLevelType w:val="hybridMultilevel"/>
    <w:tmpl w:val="16AA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657B3"/>
    <w:multiLevelType w:val="hybridMultilevel"/>
    <w:tmpl w:val="41920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37B93"/>
    <w:multiLevelType w:val="hybridMultilevel"/>
    <w:tmpl w:val="FDA2F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75F7E"/>
    <w:multiLevelType w:val="hybridMultilevel"/>
    <w:tmpl w:val="6374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43150"/>
    <w:multiLevelType w:val="hybridMultilevel"/>
    <w:tmpl w:val="F16ED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265FA"/>
    <w:multiLevelType w:val="hybridMultilevel"/>
    <w:tmpl w:val="F328D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B07B4"/>
    <w:multiLevelType w:val="multilevel"/>
    <w:tmpl w:val="658C358A"/>
    <w:name w:val="Access Review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BD125BE"/>
    <w:multiLevelType w:val="hybridMultilevel"/>
    <w:tmpl w:val="85405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1171B"/>
    <w:multiLevelType w:val="hybridMultilevel"/>
    <w:tmpl w:val="03E82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32C06"/>
    <w:multiLevelType w:val="hybridMultilevel"/>
    <w:tmpl w:val="544A2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170B9"/>
    <w:multiLevelType w:val="hybridMultilevel"/>
    <w:tmpl w:val="6180F794"/>
    <w:lvl w:ilvl="0" w:tplc="AA34FE7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40016EF"/>
    <w:multiLevelType w:val="multilevel"/>
    <w:tmpl w:val="804684F0"/>
    <w:name w:val="Access Reviews22"/>
    <w:lvl w:ilvl="0">
      <w:start w:val="1"/>
      <w:numFmt w:val="none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2F608ED"/>
    <w:multiLevelType w:val="hybridMultilevel"/>
    <w:tmpl w:val="B162A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601AC"/>
    <w:multiLevelType w:val="hybridMultilevel"/>
    <w:tmpl w:val="B0D681F6"/>
    <w:name w:val="Access Reviews222"/>
    <w:lvl w:ilvl="0" w:tplc="9684D4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22"/>
  </w:num>
  <w:num w:numId="4">
    <w:abstractNumId w:val="20"/>
  </w:num>
  <w:num w:numId="5">
    <w:abstractNumId w:val="10"/>
  </w:num>
  <w:num w:numId="6">
    <w:abstractNumId w:val="9"/>
  </w:num>
  <w:num w:numId="7">
    <w:abstractNumId w:val="0"/>
  </w:num>
  <w:num w:numId="8">
    <w:abstractNumId w:val="14"/>
  </w:num>
  <w:num w:numId="9">
    <w:abstractNumId w:val="13"/>
  </w:num>
  <w:num w:numId="10">
    <w:abstractNumId w:val="5"/>
  </w:num>
  <w:num w:numId="11">
    <w:abstractNumId w:val="4"/>
  </w:num>
  <w:num w:numId="12">
    <w:abstractNumId w:val="16"/>
  </w:num>
  <w:num w:numId="13">
    <w:abstractNumId w:val="19"/>
  </w:num>
  <w:num w:numId="14">
    <w:abstractNumId w:val="3"/>
  </w:num>
  <w:num w:numId="15">
    <w:abstractNumId w:val="8"/>
  </w:num>
  <w:num w:numId="16">
    <w:abstractNumId w:val="21"/>
  </w:num>
  <w:num w:numId="17">
    <w:abstractNumId w:val="17"/>
  </w:num>
  <w:num w:numId="18">
    <w:abstractNumId w:val="18"/>
  </w:num>
  <w:num w:numId="19">
    <w:abstractNumId w:val="6"/>
  </w:num>
  <w:num w:numId="20">
    <w:abstractNumId w:val="11"/>
  </w:num>
  <w:num w:numId="21">
    <w:abstractNumId w:val="2"/>
  </w:num>
  <w:num w:numId="22">
    <w:abstractNumId w:val="12"/>
  </w:num>
  <w:num w:numId="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34"/>
    <w:rsid w:val="0001156A"/>
    <w:rsid w:val="00012B6D"/>
    <w:rsid w:val="00017F3F"/>
    <w:rsid w:val="00024501"/>
    <w:rsid w:val="000303F1"/>
    <w:rsid w:val="000347B4"/>
    <w:rsid w:val="00045636"/>
    <w:rsid w:val="00050172"/>
    <w:rsid w:val="000510BD"/>
    <w:rsid w:val="0005213D"/>
    <w:rsid w:val="0005367B"/>
    <w:rsid w:val="00053ED5"/>
    <w:rsid w:val="00054403"/>
    <w:rsid w:val="0006066D"/>
    <w:rsid w:val="000645A8"/>
    <w:rsid w:val="00066FF7"/>
    <w:rsid w:val="000676CE"/>
    <w:rsid w:val="00074101"/>
    <w:rsid w:val="000752C7"/>
    <w:rsid w:val="00095111"/>
    <w:rsid w:val="000A065C"/>
    <w:rsid w:val="000A0892"/>
    <w:rsid w:val="000A1D78"/>
    <w:rsid w:val="000A5F95"/>
    <w:rsid w:val="000B13C2"/>
    <w:rsid w:val="000B5E7B"/>
    <w:rsid w:val="000D3E25"/>
    <w:rsid w:val="000E31DC"/>
    <w:rsid w:val="000E4DE8"/>
    <w:rsid w:val="000E4F5A"/>
    <w:rsid w:val="000F09B9"/>
    <w:rsid w:val="000F2352"/>
    <w:rsid w:val="000F4000"/>
    <w:rsid w:val="000F44DA"/>
    <w:rsid w:val="000F4875"/>
    <w:rsid w:val="001132A7"/>
    <w:rsid w:val="00115209"/>
    <w:rsid w:val="00123271"/>
    <w:rsid w:val="001267DF"/>
    <w:rsid w:val="00130C7E"/>
    <w:rsid w:val="001315B3"/>
    <w:rsid w:val="001317BA"/>
    <w:rsid w:val="001350A0"/>
    <w:rsid w:val="00146690"/>
    <w:rsid w:val="001466F6"/>
    <w:rsid w:val="00147C6C"/>
    <w:rsid w:val="00150D89"/>
    <w:rsid w:val="00152555"/>
    <w:rsid w:val="0015298B"/>
    <w:rsid w:val="0015321E"/>
    <w:rsid w:val="00160592"/>
    <w:rsid w:val="0016250F"/>
    <w:rsid w:val="00162D6E"/>
    <w:rsid w:val="001666E1"/>
    <w:rsid w:val="00171BD5"/>
    <w:rsid w:val="00172DA7"/>
    <w:rsid w:val="00173A7C"/>
    <w:rsid w:val="00174D49"/>
    <w:rsid w:val="001764E7"/>
    <w:rsid w:val="0018658F"/>
    <w:rsid w:val="00196671"/>
    <w:rsid w:val="001A17F3"/>
    <w:rsid w:val="001A3E5F"/>
    <w:rsid w:val="001A758C"/>
    <w:rsid w:val="001B117D"/>
    <w:rsid w:val="001B3DC4"/>
    <w:rsid w:val="001C010C"/>
    <w:rsid w:val="001C0405"/>
    <w:rsid w:val="001D1C55"/>
    <w:rsid w:val="001D367B"/>
    <w:rsid w:val="001E50C6"/>
    <w:rsid w:val="001F4540"/>
    <w:rsid w:val="001F4C7C"/>
    <w:rsid w:val="001F53A1"/>
    <w:rsid w:val="00201CC0"/>
    <w:rsid w:val="00202A0A"/>
    <w:rsid w:val="00204433"/>
    <w:rsid w:val="00205293"/>
    <w:rsid w:val="002065B1"/>
    <w:rsid w:val="00213B69"/>
    <w:rsid w:val="00226B29"/>
    <w:rsid w:val="00231DC1"/>
    <w:rsid w:val="00232129"/>
    <w:rsid w:val="00232A81"/>
    <w:rsid w:val="00236848"/>
    <w:rsid w:val="00237E71"/>
    <w:rsid w:val="00237EA6"/>
    <w:rsid w:val="00242148"/>
    <w:rsid w:val="002447F6"/>
    <w:rsid w:val="00257974"/>
    <w:rsid w:val="00276329"/>
    <w:rsid w:val="00277A2A"/>
    <w:rsid w:val="0028317C"/>
    <w:rsid w:val="00284AB9"/>
    <w:rsid w:val="0028548E"/>
    <w:rsid w:val="00285E9A"/>
    <w:rsid w:val="002875D3"/>
    <w:rsid w:val="0029525A"/>
    <w:rsid w:val="00295BB1"/>
    <w:rsid w:val="002A5C4E"/>
    <w:rsid w:val="002C44D2"/>
    <w:rsid w:val="002C50CB"/>
    <w:rsid w:val="002C55FB"/>
    <w:rsid w:val="002C5B1D"/>
    <w:rsid w:val="002D0489"/>
    <w:rsid w:val="002D7AF0"/>
    <w:rsid w:val="002E2096"/>
    <w:rsid w:val="002E33B7"/>
    <w:rsid w:val="002E4D6D"/>
    <w:rsid w:val="002E6A7D"/>
    <w:rsid w:val="002F3B55"/>
    <w:rsid w:val="002F65FD"/>
    <w:rsid w:val="003049DA"/>
    <w:rsid w:val="00306A2F"/>
    <w:rsid w:val="00310916"/>
    <w:rsid w:val="00310ADB"/>
    <w:rsid w:val="003111B7"/>
    <w:rsid w:val="003149D7"/>
    <w:rsid w:val="00316557"/>
    <w:rsid w:val="00323C97"/>
    <w:rsid w:val="003250A5"/>
    <w:rsid w:val="00325C5D"/>
    <w:rsid w:val="00331922"/>
    <w:rsid w:val="00332D3E"/>
    <w:rsid w:val="003351CD"/>
    <w:rsid w:val="0033776E"/>
    <w:rsid w:val="003423DC"/>
    <w:rsid w:val="00352637"/>
    <w:rsid w:val="0035457A"/>
    <w:rsid w:val="00356251"/>
    <w:rsid w:val="00356877"/>
    <w:rsid w:val="00357D45"/>
    <w:rsid w:val="00361DC5"/>
    <w:rsid w:val="00377CE6"/>
    <w:rsid w:val="00377DF3"/>
    <w:rsid w:val="003844D4"/>
    <w:rsid w:val="003850B6"/>
    <w:rsid w:val="0038614F"/>
    <w:rsid w:val="003866BF"/>
    <w:rsid w:val="00392F88"/>
    <w:rsid w:val="00396A52"/>
    <w:rsid w:val="00397A37"/>
    <w:rsid w:val="003A4A32"/>
    <w:rsid w:val="003A6E6D"/>
    <w:rsid w:val="003B2AC4"/>
    <w:rsid w:val="003B7577"/>
    <w:rsid w:val="003C1643"/>
    <w:rsid w:val="003C4F7F"/>
    <w:rsid w:val="003C74E0"/>
    <w:rsid w:val="003D2843"/>
    <w:rsid w:val="003D2C95"/>
    <w:rsid w:val="003D3FCC"/>
    <w:rsid w:val="003D552F"/>
    <w:rsid w:val="003E0C84"/>
    <w:rsid w:val="003E56FE"/>
    <w:rsid w:val="003E57E6"/>
    <w:rsid w:val="003F1C78"/>
    <w:rsid w:val="003F1D0B"/>
    <w:rsid w:val="003F4918"/>
    <w:rsid w:val="003F5641"/>
    <w:rsid w:val="003F685E"/>
    <w:rsid w:val="00401553"/>
    <w:rsid w:val="00402853"/>
    <w:rsid w:val="00410522"/>
    <w:rsid w:val="00414DF1"/>
    <w:rsid w:val="00426817"/>
    <w:rsid w:val="00427654"/>
    <w:rsid w:val="00427B14"/>
    <w:rsid w:val="00430977"/>
    <w:rsid w:val="004375DE"/>
    <w:rsid w:val="00441E11"/>
    <w:rsid w:val="00442F58"/>
    <w:rsid w:val="00445231"/>
    <w:rsid w:val="00446207"/>
    <w:rsid w:val="00451783"/>
    <w:rsid w:val="00454531"/>
    <w:rsid w:val="00462A55"/>
    <w:rsid w:val="00462A66"/>
    <w:rsid w:val="00467034"/>
    <w:rsid w:val="004729D7"/>
    <w:rsid w:val="00477465"/>
    <w:rsid w:val="00477BF8"/>
    <w:rsid w:val="00481D8C"/>
    <w:rsid w:val="00482357"/>
    <w:rsid w:val="00482680"/>
    <w:rsid w:val="0048602A"/>
    <w:rsid w:val="004A03A6"/>
    <w:rsid w:val="004A151A"/>
    <w:rsid w:val="004A2991"/>
    <w:rsid w:val="004B521F"/>
    <w:rsid w:val="004B58B1"/>
    <w:rsid w:val="004B62D2"/>
    <w:rsid w:val="004C403E"/>
    <w:rsid w:val="004C4543"/>
    <w:rsid w:val="004C6DFB"/>
    <w:rsid w:val="004C6E40"/>
    <w:rsid w:val="004D02C5"/>
    <w:rsid w:val="004D4B7F"/>
    <w:rsid w:val="004D6369"/>
    <w:rsid w:val="004E01C6"/>
    <w:rsid w:val="004E2878"/>
    <w:rsid w:val="004E2B5F"/>
    <w:rsid w:val="004F1706"/>
    <w:rsid w:val="004F1A24"/>
    <w:rsid w:val="004F77B1"/>
    <w:rsid w:val="00500BB2"/>
    <w:rsid w:val="005011CF"/>
    <w:rsid w:val="00510CD0"/>
    <w:rsid w:val="00513272"/>
    <w:rsid w:val="005154F5"/>
    <w:rsid w:val="00520A8C"/>
    <w:rsid w:val="00522046"/>
    <w:rsid w:val="005223A2"/>
    <w:rsid w:val="00523CC3"/>
    <w:rsid w:val="005269BF"/>
    <w:rsid w:val="00526C68"/>
    <w:rsid w:val="0053035B"/>
    <w:rsid w:val="0053503B"/>
    <w:rsid w:val="00535FA6"/>
    <w:rsid w:val="00537690"/>
    <w:rsid w:val="00540B57"/>
    <w:rsid w:val="00543A6E"/>
    <w:rsid w:val="00546FBC"/>
    <w:rsid w:val="005550D6"/>
    <w:rsid w:val="00557D09"/>
    <w:rsid w:val="00565E97"/>
    <w:rsid w:val="0056755F"/>
    <w:rsid w:val="00574946"/>
    <w:rsid w:val="0057626E"/>
    <w:rsid w:val="005818CC"/>
    <w:rsid w:val="00587866"/>
    <w:rsid w:val="00596C94"/>
    <w:rsid w:val="00597A7E"/>
    <w:rsid w:val="005A2633"/>
    <w:rsid w:val="005A2AF8"/>
    <w:rsid w:val="005A33C1"/>
    <w:rsid w:val="005A6B94"/>
    <w:rsid w:val="005A7032"/>
    <w:rsid w:val="005B6EE2"/>
    <w:rsid w:val="005B7A3C"/>
    <w:rsid w:val="005B7EC5"/>
    <w:rsid w:val="005C17B4"/>
    <w:rsid w:val="005C2B1B"/>
    <w:rsid w:val="005C49F1"/>
    <w:rsid w:val="005D3534"/>
    <w:rsid w:val="005D67EC"/>
    <w:rsid w:val="005E2916"/>
    <w:rsid w:val="005E3192"/>
    <w:rsid w:val="005E446F"/>
    <w:rsid w:val="005E5C8A"/>
    <w:rsid w:val="005F184D"/>
    <w:rsid w:val="005F257C"/>
    <w:rsid w:val="005F3E57"/>
    <w:rsid w:val="00601CC1"/>
    <w:rsid w:val="0060505A"/>
    <w:rsid w:val="0061039B"/>
    <w:rsid w:val="006119C7"/>
    <w:rsid w:val="0061202A"/>
    <w:rsid w:val="006124D7"/>
    <w:rsid w:val="00613106"/>
    <w:rsid w:val="00614420"/>
    <w:rsid w:val="006147D5"/>
    <w:rsid w:val="00615EA4"/>
    <w:rsid w:val="006255A7"/>
    <w:rsid w:val="006264B9"/>
    <w:rsid w:val="00626D82"/>
    <w:rsid w:val="006305C9"/>
    <w:rsid w:val="006315C5"/>
    <w:rsid w:val="0063168B"/>
    <w:rsid w:val="00632128"/>
    <w:rsid w:val="00633EC9"/>
    <w:rsid w:val="00640916"/>
    <w:rsid w:val="00640A37"/>
    <w:rsid w:val="0064149F"/>
    <w:rsid w:val="0064239B"/>
    <w:rsid w:val="006455B4"/>
    <w:rsid w:val="00646657"/>
    <w:rsid w:val="00660DF9"/>
    <w:rsid w:val="00661167"/>
    <w:rsid w:val="00662EE1"/>
    <w:rsid w:val="006639F5"/>
    <w:rsid w:val="00664FA0"/>
    <w:rsid w:val="00672753"/>
    <w:rsid w:val="0067367E"/>
    <w:rsid w:val="006818AF"/>
    <w:rsid w:val="006829C1"/>
    <w:rsid w:val="00683147"/>
    <w:rsid w:val="00686A14"/>
    <w:rsid w:val="00686AB5"/>
    <w:rsid w:val="00692041"/>
    <w:rsid w:val="0069350D"/>
    <w:rsid w:val="00693C9D"/>
    <w:rsid w:val="00694301"/>
    <w:rsid w:val="006958E3"/>
    <w:rsid w:val="00695961"/>
    <w:rsid w:val="006960F7"/>
    <w:rsid w:val="0069652E"/>
    <w:rsid w:val="006A2C1D"/>
    <w:rsid w:val="006A4B68"/>
    <w:rsid w:val="006A641F"/>
    <w:rsid w:val="006B2226"/>
    <w:rsid w:val="006B2427"/>
    <w:rsid w:val="006B4BAE"/>
    <w:rsid w:val="006B599F"/>
    <w:rsid w:val="006B62DF"/>
    <w:rsid w:val="006B66AC"/>
    <w:rsid w:val="006B7AB0"/>
    <w:rsid w:val="006C4C8B"/>
    <w:rsid w:val="006C7CAA"/>
    <w:rsid w:val="006C7F86"/>
    <w:rsid w:val="006D0224"/>
    <w:rsid w:val="006D1011"/>
    <w:rsid w:val="006E0E41"/>
    <w:rsid w:val="006E444B"/>
    <w:rsid w:val="006F0CEB"/>
    <w:rsid w:val="006F39FB"/>
    <w:rsid w:val="006F4AD8"/>
    <w:rsid w:val="0070135C"/>
    <w:rsid w:val="00702EF2"/>
    <w:rsid w:val="00704A76"/>
    <w:rsid w:val="00705DA4"/>
    <w:rsid w:val="00715C87"/>
    <w:rsid w:val="00716EB6"/>
    <w:rsid w:val="00721008"/>
    <w:rsid w:val="00721F16"/>
    <w:rsid w:val="00731CBC"/>
    <w:rsid w:val="007320B1"/>
    <w:rsid w:val="007336A1"/>
    <w:rsid w:val="0073487D"/>
    <w:rsid w:val="007410B3"/>
    <w:rsid w:val="007424CA"/>
    <w:rsid w:val="00745B53"/>
    <w:rsid w:val="0075169D"/>
    <w:rsid w:val="00761E21"/>
    <w:rsid w:val="00764440"/>
    <w:rsid w:val="007716F7"/>
    <w:rsid w:val="007716FE"/>
    <w:rsid w:val="00771956"/>
    <w:rsid w:val="00774D3C"/>
    <w:rsid w:val="00775AA8"/>
    <w:rsid w:val="007767F7"/>
    <w:rsid w:val="00776B90"/>
    <w:rsid w:val="00777EB9"/>
    <w:rsid w:val="00777F65"/>
    <w:rsid w:val="00783293"/>
    <w:rsid w:val="00784676"/>
    <w:rsid w:val="00790AA4"/>
    <w:rsid w:val="007935B8"/>
    <w:rsid w:val="00796F61"/>
    <w:rsid w:val="007A1FC5"/>
    <w:rsid w:val="007A6399"/>
    <w:rsid w:val="007A63DB"/>
    <w:rsid w:val="007A70E4"/>
    <w:rsid w:val="007B0CED"/>
    <w:rsid w:val="007B160E"/>
    <w:rsid w:val="007B209D"/>
    <w:rsid w:val="007B5575"/>
    <w:rsid w:val="007C1399"/>
    <w:rsid w:val="007C408B"/>
    <w:rsid w:val="007C72A2"/>
    <w:rsid w:val="007D33D7"/>
    <w:rsid w:val="007D3BFA"/>
    <w:rsid w:val="007D4F1F"/>
    <w:rsid w:val="007D5EE3"/>
    <w:rsid w:val="007D7ED2"/>
    <w:rsid w:val="007E050E"/>
    <w:rsid w:val="007E508B"/>
    <w:rsid w:val="007F0E87"/>
    <w:rsid w:val="007F1F57"/>
    <w:rsid w:val="008026B9"/>
    <w:rsid w:val="00804087"/>
    <w:rsid w:val="00810468"/>
    <w:rsid w:val="0081057F"/>
    <w:rsid w:val="008135D3"/>
    <w:rsid w:val="00813675"/>
    <w:rsid w:val="00815BD9"/>
    <w:rsid w:val="0081777B"/>
    <w:rsid w:val="00824915"/>
    <w:rsid w:val="0082535A"/>
    <w:rsid w:val="00826C89"/>
    <w:rsid w:val="008278E3"/>
    <w:rsid w:val="00830FB6"/>
    <w:rsid w:val="00832054"/>
    <w:rsid w:val="0083213B"/>
    <w:rsid w:val="0084256A"/>
    <w:rsid w:val="00846FAE"/>
    <w:rsid w:val="00851ACC"/>
    <w:rsid w:val="00851B9F"/>
    <w:rsid w:val="00852FF2"/>
    <w:rsid w:val="00854920"/>
    <w:rsid w:val="008601BE"/>
    <w:rsid w:val="00862012"/>
    <w:rsid w:val="00870A5A"/>
    <w:rsid w:val="008724E1"/>
    <w:rsid w:val="00881949"/>
    <w:rsid w:val="00884B35"/>
    <w:rsid w:val="00893189"/>
    <w:rsid w:val="00897BE3"/>
    <w:rsid w:val="008A05DA"/>
    <w:rsid w:val="008A09DF"/>
    <w:rsid w:val="008B3DE9"/>
    <w:rsid w:val="008B5CB7"/>
    <w:rsid w:val="008B5EC1"/>
    <w:rsid w:val="008C0CEB"/>
    <w:rsid w:val="008C2F26"/>
    <w:rsid w:val="008C3167"/>
    <w:rsid w:val="008C353F"/>
    <w:rsid w:val="008C5A0F"/>
    <w:rsid w:val="008C6B7E"/>
    <w:rsid w:val="008D1BD4"/>
    <w:rsid w:val="008D37F9"/>
    <w:rsid w:val="008D564F"/>
    <w:rsid w:val="008E042D"/>
    <w:rsid w:val="008F0142"/>
    <w:rsid w:val="008F0CEC"/>
    <w:rsid w:val="008F758C"/>
    <w:rsid w:val="00900A4B"/>
    <w:rsid w:val="00901841"/>
    <w:rsid w:val="00901FC7"/>
    <w:rsid w:val="00911216"/>
    <w:rsid w:val="009155C6"/>
    <w:rsid w:val="00926B9F"/>
    <w:rsid w:val="009311F2"/>
    <w:rsid w:val="00932F5B"/>
    <w:rsid w:val="00945E5E"/>
    <w:rsid w:val="00947122"/>
    <w:rsid w:val="0095725C"/>
    <w:rsid w:val="0096129E"/>
    <w:rsid w:val="00967974"/>
    <w:rsid w:val="00967A67"/>
    <w:rsid w:val="009743FF"/>
    <w:rsid w:val="009772DA"/>
    <w:rsid w:val="0098285E"/>
    <w:rsid w:val="009835C3"/>
    <w:rsid w:val="0098477F"/>
    <w:rsid w:val="00985969"/>
    <w:rsid w:val="00991F93"/>
    <w:rsid w:val="00993D09"/>
    <w:rsid w:val="009A0861"/>
    <w:rsid w:val="009A0B95"/>
    <w:rsid w:val="009A4255"/>
    <w:rsid w:val="009A5879"/>
    <w:rsid w:val="009B0B89"/>
    <w:rsid w:val="009B2F9A"/>
    <w:rsid w:val="009B3541"/>
    <w:rsid w:val="009B3621"/>
    <w:rsid w:val="009B43BB"/>
    <w:rsid w:val="009B4F94"/>
    <w:rsid w:val="009B5118"/>
    <w:rsid w:val="009B6F40"/>
    <w:rsid w:val="009C08BF"/>
    <w:rsid w:val="009C1D43"/>
    <w:rsid w:val="009C6274"/>
    <w:rsid w:val="009D1372"/>
    <w:rsid w:val="009D4E04"/>
    <w:rsid w:val="009D553B"/>
    <w:rsid w:val="009D6C0B"/>
    <w:rsid w:val="009E087E"/>
    <w:rsid w:val="009E13EE"/>
    <w:rsid w:val="009E2398"/>
    <w:rsid w:val="009F573A"/>
    <w:rsid w:val="009F68D0"/>
    <w:rsid w:val="009F6CB7"/>
    <w:rsid w:val="00A07EAC"/>
    <w:rsid w:val="00A14D0E"/>
    <w:rsid w:val="00A21A41"/>
    <w:rsid w:val="00A2204C"/>
    <w:rsid w:val="00A228E9"/>
    <w:rsid w:val="00A24D24"/>
    <w:rsid w:val="00A2660F"/>
    <w:rsid w:val="00A2666C"/>
    <w:rsid w:val="00A36E33"/>
    <w:rsid w:val="00A40560"/>
    <w:rsid w:val="00A44DD3"/>
    <w:rsid w:val="00A557F4"/>
    <w:rsid w:val="00A62590"/>
    <w:rsid w:val="00A63EDE"/>
    <w:rsid w:val="00A64997"/>
    <w:rsid w:val="00A65114"/>
    <w:rsid w:val="00A65E92"/>
    <w:rsid w:val="00A7434C"/>
    <w:rsid w:val="00A7463C"/>
    <w:rsid w:val="00A748CD"/>
    <w:rsid w:val="00A81870"/>
    <w:rsid w:val="00A939E6"/>
    <w:rsid w:val="00A97C54"/>
    <w:rsid w:val="00AA11F7"/>
    <w:rsid w:val="00AA2660"/>
    <w:rsid w:val="00AA47E5"/>
    <w:rsid w:val="00AA7157"/>
    <w:rsid w:val="00AB05CE"/>
    <w:rsid w:val="00AC015B"/>
    <w:rsid w:val="00AC301D"/>
    <w:rsid w:val="00AC66BD"/>
    <w:rsid w:val="00AD001B"/>
    <w:rsid w:val="00AD119C"/>
    <w:rsid w:val="00AD1782"/>
    <w:rsid w:val="00AF3275"/>
    <w:rsid w:val="00B00932"/>
    <w:rsid w:val="00B02210"/>
    <w:rsid w:val="00B066BB"/>
    <w:rsid w:val="00B11BCF"/>
    <w:rsid w:val="00B20947"/>
    <w:rsid w:val="00B216B5"/>
    <w:rsid w:val="00B21C96"/>
    <w:rsid w:val="00B2221C"/>
    <w:rsid w:val="00B22931"/>
    <w:rsid w:val="00B2628E"/>
    <w:rsid w:val="00B34246"/>
    <w:rsid w:val="00B43C3F"/>
    <w:rsid w:val="00B45810"/>
    <w:rsid w:val="00B46656"/>
    <w:rsid w:val="00B52983"/>
    <w:rsid w:val="00B540E9"/>
    <w:rsid w:val="00B544ED"/>
    <w:rsid w:val="00B575A4"/>
    <w:rsid w:val="00B65287"/>
    <w:rsid w:val="00B66739"/>
    <w:rsid w:val="00B72AD5"/>
    <w:rsid w:val="00B7689C"/>
    <w:rsid w:val="00B806AD"/>
    <w:rsid w:val="00B82241"/>
    <w:rsid w:val="00B829C3"/>
    <w:rsid w:val="00B82D7D"/>
    <w:rsid w:val="00B849E1"/>
    <w:rsid w:val="00B8518F"/>
    <w:rsid w:val="00B851F8"/>
    <w:rsid w:val="00B917C3"/>
    <w:rsid w:val="00B9223E"/>
    <w:rsid w:val="00B9342A"/>
    <w:rsid w:val="00B946FC"/>
    <w:rsid w:val="00B948C7"/>
    <w:rsid w:val="00B95D71"/>
    <w:rsid w:val="00B96118"/>
    <w:rsid w:val="00BA14AD"/>
    <w:rsid w:val="00BA29A1"/>
    <w:rsid w:val="00BA56D5"/>
    <w:rsid w:val="00BB2712"/>
    <w:rsid w:val="00BC6C14"/>
    <w:rsid w:val="00BD0670"/>
    <w:rsid w:val="00BD201C"/>
    <w:rsid w:val="00BD2DD2"/>
    <w:rsid w:val="00BD334D"/>
    <w:rsid w:val="00BD66E3"/>
    <w:rsid w:val="00BE08F7"/>
    <w:rsid w:val="00BE3FE1"/>
    <w:rsid w:val="00BF179F"/>
    <w:rsid w:val="00BF3441"/>
    <w:rsid w:val="00BF3704"/>
    <w:rsid w:val="00C06107"/>
    <w:rsid w:val="00C14E5C"/>
    <w:rsid w:val="00C17010"/>
    <w:rsid w:val="00C2005A"/>
    <w:rsid w:val="00C20347"/>
    <w:rsid w:val="00C20F55"/>
    <w:rsid w:val="00C2514D"/>
    <w:rsid w:val="00C30314"/>
    <w:rsid w:val="00C30D2E"/>
    <w:rsid w:val="00C376DD"/>
    <w:rsid w:val="00C4124A"/>
    <w:rsid w:val="00C41664"/>
    <w:rsid w:val="00C42501"/>
    <w:rsid w:val="00C43106"/>
    <w:rsid w:val="00C4344A"/>
    <w:rsid w:val="00C565E0"/>
    <w:rsid w:val="00C57936"/>
    <w:rsid w:val="00C63D32"/>
    <w:rsid w:val="00C6454D"/>
    <w:rsid w:val="00C720C6"/>
    <w:rsid w:val="00C830A3"/>
    <w:rsid w:val="00C90A37"/>
    <w:rsid w:val="00C932D4"/>
    <w:rsid w:val="00CA1238"/>
    <w:rsid w:val="00CA5F5D"/>
    <w:rsid w:val="00CA637E"/>
    <w:rsid w:val="00CB035D"/>
    <w:rsid w:val="00CB0BA1"/>
    <w:rsid w:val="00CB7829"/>
    <w:rsid w:val="00CC363B"/>
    <w:rsid w:val="00CC3BBF"/>
    <w:rsid w:val="00CC7842"/>
    <w:rsid w:val="00CC7F63"/>
    <w:rsid w:val="00CD4C3D"/>
    <w:rsid w:val="00CE3A1F"/>
    <w:rsid w:val="00CE46AF"/>
    <w:rsid w:val="00CE4F41"/>
    <w:rsid w:val="00CF60D8"/>
    <w:rsid w:val="00CF64BE"/>
    <w:rsid w:val="00CF79D8"/>
    <w:rsid w:val="00CF7EB6"/>
    <w:rsid w:val="00D10681"/>
    <w:rsid w:val="00D10A93"/>
    <w:rsid w:val="00D137EA"/>
    <w:rsid w:val="00D138FA"/>
    <w:rsid w:val="00D20916"/>
    <w:rsid w:val="00D24A14"/>
    <w:rsid w:val="00D27BD5"/>
    <w:rsid w:val="00D30990"/>
    <w:rsid w:val="00D32A8B"/>
    <w:rsid w:val="00D351F6"/>
    <w:rsid w:val="00D37B9D"/>
    <w:rsid w:val="00D45BF2"/>
    <w:rsid w:val="00D45CA1"/>
    <w:rsid w:val="00D4748B"/>
    <w:rsid w:val="00D47733"/>
    <w:rsid w:val="00D553FB"/>
    <w:rsid w:val="00D62B82"/>
    <w:rsid w:val="00D62BE9"/>
    <w:rsid w:val="00D707A1"/>
    <w:rsid w:val="00D71CC8"/>
    <w:rsid w:val="00D808D2"/>
    <w:rsid w:val="00D82F88"/>
    <w:rsid w:val="00D947D6"/>
    <w:rsid w:val="00D960EC"/>
    <w:rsid w:val="00DA085A"/>
    <w:rsid w:val="00DA2E31"/>
    <w:rsid w:val="00DB79EE"/>
    <w:rsid w:val="00DB7A49"/>
    <w:rsid w:val="00DC2780"/>
    <w:rsid w:val="00DF311C"/>
    <w:rsid w:val="00DF4496"/>
    <w:rsid w:val="00E02279"/>
    <w:rsid w:val="00E067BF"/>
    <w:rsid w:val="00E109C8"/>
    <w:rsid w:val="00E116D5"/>
    <w:rsid w:val="00E11D82"/>
    <w:rsid w:val="00E17276"/>
    <w:rsid w:val="00E27A3B"/>
    <w:rsid w:val="00E3041A"/>
    <w:rsid w:val="00E33E62"/>
    <w:rsid w:val="00E34560"/>
    <w:rsid w:val="00E4715A"/>
    <w:rsid w:val="00E51683"/>
    <w:rsid w:val="00E613B2"/>
    <w:rsid w:val="00E61887"/>
    <w:rsid w:val="00E7093D"/>
    <w:rsid w:val="00E70D98"/>
    <w:rsid w:val="00E71018"/>
    <w:rsid w:val="00E71BD7"/>
    <w:rsid w:val="00E72735"/>
    <w:rsid w:val="00E72EA3"/>
    <w:rsid w:val="00E74344"/>
    <w:rsid w:val="00E7776F"/>
    <w:rsid w:val="00E84B66"/>
    <w:rsid w:val="00E86D42"/>
    <w:rsid w:val="00E90AA0"/>
    <w:rsid w:val="00E92556"/>
    <w:rsid w:val="00EA2C04"/>
    <w:rsid w:val="00EA448E"/>
    <w:rsid w:val="00EB2D86"/>
    <w:rsid w:val="00EB48FF"/>
    <w:rsid w:val="00EC1DD3"/>
    <w:rsid w:val="00EC4D39"/>
    <w:rsid w:val="00EC52A3"/>
    <w:rsid w:val="00EC6744"/>
    <w:rsid w:val="00ED2187"/>
    <w:rsid w:val="00ED57EA"/>
    <w:rsid w:val="00EE10DB"/>
    <w:rsid w:val="00EE1FFF"/>
    <w:rsid w:val="00EE28E0"/>
    <w:rsid w:val="00EE2F34"/>
    <w:rsid w:val="00EE7935"/>
    <w:rsid w:val="00EE7DE5"/>
    <w:rsid w:val="00EF08B9"/>
    <w:rsid w:val="00EF3553"/>
    <w:rsid w:val="00EF4224"/>
    <w:rsid w:val="00F00716"/>
    <w:rsid w:val="00F037AA"/>
    <w:rsid w:val="00F07931"/>
    <w:rsid w:val="00F236BF"/>
    <w:rsid w:val="00F316E5"/>
    <w:rsid w:val="00F44D55"/>
    <w:rsid w:val="00F44E31"/>
    <w:rsid w:val="00F46902"/>
    <w:rsid w:val="00F53407"/>
    <w:rsid w:val="00F53C9D"/>
    <w:rsid w:val="00F5560F"/>
    <w:rsid w:val="00F55BFE"/>
    <w:rsid w:val="00F56925"/>
    <w:rsid w:val="00F63A64"/>
    <w:rsid w:val="00F667FB"/>
    <w:rsid w:val="00F74F8D"/>
    <w:rsid w:val="00F779C8"/>
    <w:rsid w:val="00F8208A"/>
    <w:rsid w:val="00F828F8"/>
    <w:rsid w:val="00F8655F"/>
    <w:rsid w:val="00F87B66"/>
    <w:rsid w:val="00F91BD0"/>
    <w:rsid w:val="00FA06BA"/>
    <w:rsid w:val="00FA3060"/>
    <w:rsid w:val="00FA3C00"/>
    <w:rsid w:val="00FB656E"/>
    <w:rsid w:val="00FC0E2D"/>
    <w:rsid w:val="00FC2638"/>
    <w:rsid w:val="00FC77FC"/>
    <w:rsid w:val="00FD00A9"/>
    <w:rsid w:val="00FD72A3"/>
    <w:rsid w:val="00FD77B0"/>
    <w:rsid w:val="00FE1F9F"/>
    <w:rsid w:val="00FE20E5"/>
    <w:rsid w:val="00FE3F49"/>
    <w:rsid w:val="00FE5A97"/>
    <w:rsid w:val="00FF02E2"/>
    <w:rsid w:val="00FF2527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D83C178"/>
  <w15:chartTrackingRefBased/>
  <w15:docId w15:val="{6C7FAC54-7DAC-42EA-855E-982E8CD1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67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4D24"/>
    <w:pPr>
      <w:keepNext/>
      <w:keepLines/>
      <w:numPr>
        <w:numId w:val="4"/>
      </w:numPr>
      <w:pBdr>
        <w:top w:val="single" w:sz="24" w:space="1" w:color="0067B6"/>
        <w:left w:val="single" w:sz="24" w:space="4" w:color="0067B6"/>
        <w:bottom w:val="single" w:sz="24" w:space="1" w:color="0067B6"/>
        <w:right w:val="single" w:sz="24" w:space="4" w:color="0067B6"/>
      </w:pBdr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7F6"/>
    <w:pPr>
      <w:keepNext/>
      <w:keepLines/>
      <w:shd w:val="clear" w:color="auto" w:fill="FFD1AF" w:themeFill="background2"/>
      <w:spacing w:before="36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4D24"/>
    <w:pPr>
      <w:keepNext/>
      <w:keepLines/>
      <w:numPr>
        <w:ilvl w:val="2"/>
        <w:numId w:val="4"/>
      </w:numPr>
      <w:shd w:val="clear" w:color="auto" w:fill="FFD1AF" w:themeFill="background2"/>
      <w:spacing w:before="360" w:after="120"/>
      <w:outlineLvl w:val="2"/>
    </w:pPr>
    <w:rPr>
      <w:rFonts w:asciiTheme="majorHAnsi" w:eastAsiaTheme="majorEastAsia" w:hAnsiTheme="majorHAnsi" w:cstheme="majorBidi"/>
      <w:b/>
      <w:color w:val="00335B" w:themeColor="text2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50E"/>
    <w:pPr>
      <w:keepNext/>
      <w:keepLines/>
      <w:numPr>
        <w:ilvl w:val="3"/>
        <w:numId w:val="4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0060A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98B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04C88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2148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05FA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148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FA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148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148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FA"/>
    <w:rPr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D1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FA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24D24"/>
    <w:rPr>
      <w:rFonts w:asciiTheme="majorHAnsi" w:eastAsiaTheme="majorEastAsia" w:hAnsiTheme="majorHAnsi" w:cstheme="majorBidi"/>
      <w:b/>
      <w:sz w:val="36"/>
      <w:szCs w:val="32"/>
    </w:rPr>
  </w:style>
  <w:style w:type="paragraph" w:styleId="ListParagraph">
    <w:name w:val="List Paragraph"/>
    <w:basedOn w:val="Normal"/>
    <w:uiPriority w:val="34"/>
    <w:qFormat/>
    <w:rsid w:val="00B948C7"/>
    <w:pPr>
      <w:spacing w:after="240"/>
      <w:ind w:left="720"/>
    </w:pPr>
  </w:style>
  <w:style w:type="character" w:styleId="Hyperlink">
    <w:name w:val="Hyperlink"/>
    <w:basedOn w:val="DefaultParagraphFont"/>
    <w:uiPriority w:val="99"/>
    <w:unhideWhenUsed/>
    <w:rsid w:val="00EE7DE5"/>
    <w:rPr>
      <w:color w:val="2E74B5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4D24"/>
    <w:rPr>
      <w:rFonts w:eastAsiaTheme="majorEastAsia" w:cstheme="majorBidi"/>
      <w:b/>
      <w:color w:val="000000" w:themeColor="text1"/>
      <w:sz w:val="28"/>
      <w:szCs w:val="26"/>
      <w:shd w:val="clear" w:color="auto" w:fill="FFD1AF" w:themeFill="background2"/>
    </w:rPr>
  </w:style>
  <w:style w:type="character" w:customStyle="1" w:styleId="Heading3Char">
    <w:name w:val="Heading 3 Char"/>
    <w:basedOn w:val="DefaultParagraphFont"/>
    <w:link w:val="Heading3"/>
    <w:uiPriority w:val="9"/>
    <w:rsid w:val="00A24D24"/>
    <w:rPr>
      <w:rFonts w:asciiTheme="majorHAnsi" w:eastAsiaTheme="majorEastAsia" w:hAnsiTheme="majorHAnsi" w:cstheme="majorBidi"/>
      <w:b/>
      <w:color w:val="00335B" w:themeColor="text2" w:themeShade="80"/>
      <w:sz w:val="24"/>
      <w:szCs w:val="24"/>
      <w:shd w:val="clear" w:color="auto" w:fill="FFD1AF" w:themeFill="background2"/>
    </w:rPr>
  </w:style>
  <w:style w:type="character" w:customStyle="1" w:styleId="Heading4Char">
    <w:name w:val="Heading 4 Char"/>
    <w:basedOn w:val="DefaultParagraphFont"/>
    <w:link w:val="Heading4"/>
    <w:uiPriority w:val="9"/>
    <w:rsid w:val="007E050E"/>
    <w:rPr>
      <w:rFonts w:asciiTheme="majorHAnsi" w:eastAsiaTheme="majorEastAsia" w:hAnsiTheme="majorHAnsi" w:cstheme="majorBidi"/>
      <w:b/>
      <w:iCs/>
      <w:color w:val="0060A9" w:themeColor="accent1" w:themeShade="8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31DC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7F4"/>
    <w:pPr>
      <w:pBdr>
        <w:top w:val="single" w:sz="4" w:space="10" w:color="53B5FF" w:themeColor="accent1"/>
        <w:bottom w:val="single" w:sz="4" w:space="10" w:color="53B5FF" w:themeColor="accent1"/>
      </w:pBdr>
      <w:shd w:val="clear" w:color="auto" w:fill="FEF6F0"/>
      <w:spacing w:before="240" w:after="240"/>
      <w:ind w:left="284" w:right="284"/>
      <w:jc w:val="center"/>
    </w:pPr>
    <w:rPr>
      <w:iCs/>
      <w:color w:val="00335B" w:themeColor="text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7F4"/>
    <w:rPr>
      <w:iCs/>
      <w:color w:val="00335B" w:themeColor="text2" w:themeShade="80"/>
      <w:sz w:val="24"/>
      <w:shd w:val="clear" w:color="auto" w:fill="FEF6F0"/>
    </w:rPr>
  </w:style>
  <w:style w:type="character" w:styleId="FollowedHyperlink">
    <w:name w:val="FollowedHyperlink"/>
    <w:basedOn w:val="DefaultParagraphFont"/>
    <w:uiPriority w:val="99"/>
    <w:semiHidden/>
    <w:unhideWhenUsed/>
    <w:rsid w:val="005E291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4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3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557F4"/>
    <w:pPr>
      <w:pBdr>
        <w:top w:val="single" w:sz="4" w:space="10" w:color="auto"/>
        <w:bottom w:val="single" w:sz="4" w:space="10" w:color="auto"/>
      </w:pBdr>
      <w:shd w:val="clear" w:color="auto" w:fill="EFFAFF"/>
      <w:spacing w:before="240" w:after="240"/>
      <w:ind w:left="284" w:right="284"/>
      <w:jc w:val="center"/>
    </w:pPr>
    <w:rPr>
      <w:iCs/>
      <w:color w:val="00335B" w:themeColor="text2" w:themeShade="80"/>
    </w:rPr>
  </w:style>
  <w:style w:type="character" w:customStyle="1" w:styleId="QuoteChar">
    <w:name w:val="Quote Char"/>
    <w:basedOn w:val="DefaultParagraphFont"/>
    <w:link w:val="Quote"/>
    <w:uiPriority w:val="29"/>
    <w:rsid w:val="00A557F4"/>
    <w:rPr>
      <w:iCs/>
      <w:color w:val="00335B" w:themeColor="text2" w:themeShade="80"/>
      <w:sz w:val="24"/>
      <w:shd w:val="clear" w:color="auto" w:fill="EFFAFF"/>
    </w:rPr>
  </w:style>
  <w:style w:type="character" w:customStyle="1" w:styleId="Heading5Char">
    <w:name w:val="Heading 5 Char"/>
    <w:basedOn w:val="DefaultParagraphFont"/>
    <w:link w:val="Heading5"/>
    <w:uiPriority w:val="9"/>
    <w:rsid w:val="0015298B"/>
    <w:rPr>
      <w:rFonts w:asciiTheme="majorHAnsi" w:eastAsiaTheme="majorEastAsia" w:hAnsiTheme="majorHAnsi" w:cstheme="majorBidi"/>
      <w:color w:val="004C88" w:themeColor="text2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42148"/>
    <w:rPr>
      <w:rFonts w:asciiTheme="majorHAnsi" w:eastAsiaTheme="majorEastAsia" w:hAnsiTheme="majorHAnsi" w:cstheme="majorBidi"/>
      <w:color w:val="005FA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148"/>
    <w:rPr>
      <w:rFonts w:asciiTheme="majorHAnsi" w:eastAsiaTheme="majorEastAsia" w:hAnsiTheme="majorHAnsi" w:cstheme="majorBidi"/>
      <w:i/>
      <w:iCs/>
      <w:color w:val="005FA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1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1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0B13C2"/>
    <w:pPr>
      <w:spacing w:after="200" w:line="240" w:lineRule="auto"/>
    </w:pPr>
    <w:rPr>
      <w:i/>
      <w:iCs/>
      <w:color w:val="0067B6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13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13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13C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4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6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wheelsforwellbeing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heelsforwellbeing.org.uk/our-campaigns/campaigning/mobility-aid-legal-changes-every-journey-everyone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heelsforwellbeing.org.uk/donations-and-fundraising/donat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consultations/reviewing-the-law-for-powered-mobility-devices/reviewing-the-law-for-powered-mobility-devic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heelsforwellbeing.org.uk/our-campaigns/campaigning/mobility-aid-legal-changes-every-journey-everyone/" TargetMode="External"/><Relationship Id="rId10" Type="http://schemas.openxmlformats.org/officeDocument/2006/relationships/hyperlink" Target="https://wheelsforwellbeing.org.uk/our-campaigns/campaigning/mobility-aid-legal-changes-every-journey-everyone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consultations/reviewing-the-law-for-powered-mobility-devices/reviewing-the-law-for-powered-mobility-devices" TargetMode="External"/><Relationship Id="rId14" Type="http://schemas.openxmlformats.org/officeDocument/2006/relationships/hyperlink" Target="https://discord.gg/SG4mqJbAAR" TargetMode="Externa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keability.org.uk/cycletoschoolweek/" TargetMode="External"/><Relationship Id="rId13" Type="http://schemas.openxmlformats.org/officeDocument/2006/relationships/hyperlink" Target="https://www.legislation.gov.uk/ukpga/2005/9/contents" TargetMode="External"/><Relationship Id="rId3" Type="http://schemas.openxmlformats.org/officeDocument/2006/relationships/hyperlink" Target="https://wheelsforwellbeing.org.uk/wheels-for-wellbeing-quick-guide-to-the-public-sector-equality-duty/" TargetMode="External"/><Relationship Id="rId7" Type="http://schemas.openxmlformats.org/officeDocument/2006/relationships/hyperlink" Target="https://bigwalkandwheel.org.uk/" TargetMode="External"/><Relationship Id="rId12" Type="http://schemas.openxmlformats.org/officeDocument/2006/relationships/hyperlink" Target="https://wheelsforwellbeing.org.uk/wheels-for-wellbeing-quick-guide-to-the-equality-act-2010/" TargetMode="External"/><Relationship Id="rId2" Type="http://schemas.openxmlformats.org/officeDocument/2006/relationships/hyperlink" Target="https://wheelsforwellbeing.org.uk/wheels-for-wellbeing-quick-guide-to-the-equality-act-2010/" TargetMode="External"/><Relationship Id="rId1" Type="http://schemas.openxmlformats.org/officeDocument/2006/relationships/hyperlink" Target="https://www.legislation.gov.uk/ukpga/2005/9/contents" TargetMode="External"/><Relationship Id="rId6" Type="http://schemas.openxmlformats.org/officeDocument/2006/relationships/hyperlink" Target="https://www.gov.uk/government/news/almost-300-million-to-gear-up-new-walking-wheeling-and-cycling-schemes" TargetMode="External"/><Relationship Id="rId11" Type="http://schemas.openxmlformats.org/officeDocument/2006/relationships/hyperlink" Target="https://thiis.co.uk/ces-2026-best-of-innovation-winner-defines-a-new-category-of-smart-mobility-vehicle/" TargetMode="External"/><Relationship Id="rId5" Type="http://schemas.openxmlformats.org/officeDocument/2006/relationships/hyperlink" Target="https://wheelsforwellbeing.org.uk/wp-content/uploads/2026/02/My-Mobility-device-information-and-sources-v06.xlsx" TargetMode="External"/><Relationship Id="rId10" Type="http://schemas.openxmlformats.org/officeDocument/2006/relationships/hyperlink" Target="https://www.smilesmart-tech.com/product/smilesmartsystem-powerchairs/" TargetMode="External"/><Relationship Id="rId4" Type="http://schemas.openxmlformats.org/officeDocument/2006/relationships/hyperlink" Target="https://knowledge.bsigroup.com/products/electrically-powered-wheelchairs-scooters-and-their-chargers-requirements-and-test-methods" TargetMode="External"/><Relationship Id="rId9" Type="http://schemas.openxmlformats.org/officeDocument/2006/relationships/hyperlink" Target="https://luci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heels1">
  <a:themeElements>
    <a:clrScheme name="WfW2025">
      <a:dk1>
        <a:sysClr val="windowText" lastClr="000000"/>
      </a:dk1>
      <a:lt1>
        <a:sysClr val="window" lastClr="FFFFFF"/>
      </a:lt1>
      <a:dk2>
        <a:srgbClr val="0067B6"/>
      </a:dk2>
      <a:lt2>
        <a:srgbClr val="FFD1AF"/>
      </a:lt2>
      <a:accent1>
        <a:srgbClr val="53B5FF"/>
      </a:accent1>
      <a:accent2>
        <a:srgbClr val="F56A0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2E74B5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B41C4-AC3F-46BC-836A-661245A2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Ball</dc:creator>
  <cp:keywords/>
  <dc:description/>
  <cp:lastModifiedBy>Kate Ball</cp:lastModifiedBy>
  <cp:revision>9</cp:revision>
  <cp:lastPrinted>2024-04-15T09:39:00Z</cp:lastPrinted>
  <dcterms:created xsi:type="dcterms:W3CDTF">2026-03-05T12:45:00Z</dcterms:created>
  <dcterms:modified xsi:type="dcterms:W3CDTF">2026-03-06T09:29:00Z</dcterms:modified>
</cp:coreProperties>
</file>