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D7416" w14:textId="201A6DE3" w:rsidR="00A97C54" w:rsidRPr="00A97C54" w:rsidRDefault="00D13682" w:rsidP="00A97C54">
      <w:pPr>
        <w:pStyle w:val="Heading1"/>
      </w:pPr>
      <w:r>
        <w:t>Mobility devices regulations - briefing</w:t>
      </w:r>
    </w:p>
    <w:p w14:paraId="04E9CE32" w14:textId="6AE90397" w:rsidR="006958E3" w:rsidRDefault="00A47267" w:rsidP="008F33A5">
      <w:pPr>
        <w:pStyle w:val="Heading2"/>
        <w:rPr>
          <w:lang w:val="en-US"/>
        </w:rPr>
      </w:pPr>
      <w:r>
        <w:t>Key p</w:t>
      </w:r>
      <w:r w:rsidR="00446164">
        <w:t xml:space="preserve">rinciples </w:t>
      </w:r>
      <w:r>
        <w:t>&amp;</w:t>
      </w:r>
      <w:r w:rsidR="00446164">
        <w:t xml:space="preserve"> </w:t>
      </w:r>
      <w:r w:rsidR="00446164" w:rsidRPr="008F33A5">
        <w:t>requirements</w:t>
      </w:r>
      <w:r w:rsidR="00446164">
        <w:t xml:space="preserve"> for mobility devices regulations</w:t>
      </w:r>
      <w:r w:rsidR="004C27C8">
        <w:rPr>
          <w:rStyle w:val="EndnoteReference"/>
          <w:rFonts w:ascii="Arial" w:hAnsi="Arial" w:cs="Arial"/>
          <w:bCs/>
          <w:color w:val="000000"/>
        </w:rPr>
        <w:endnoteReference w:id="1"/>
      </w:r>
    </w:p>
    <w:p w14:paraId="19E81AFC" w14:textId="6147BA5F" w:rsidR="00D947D6" w:rsidRPr="008F33A5" w:rsidRDefault="00D947D6" w:rsidP="00A47267">
      <w:pPr>
        <w:pStyle w:val="ListParagraph"/>
        <w:numPr>
          <w:ilvl w:val="0"/>
          <w:numId w:val="23"/>
        </w:numPr>
        <w:spacing w:after="80"/>
        <w:ind w:left="284" w:hanging="357"/>
        <w:rPr>
          <w:rFonts w:ascii="Arial" w:hAnsi="Arial" w:cs="Arial"/>
          <w:bCs/>
          <w:color w:val="000000"/>
        </w:rPr>
      </w:pPr>
      <w:r w:rsidRPr="008F33A5">
        <w:rPr>
          <w:rFonts w:ascii="Arial" w:hAnsi="Arial" w:cs="Arial"/>
          <w:b/>
          <w:bCs/>
          <w:color w:val="000000"/>
        </w:rPr>
        <w:t>The Equality Act 2010</w:t>
      </w:r>
      <w:r w:rsidR="001A750B">
        <w:rPr>
          <w:rStyle w:val="EndnoteReference"/>
          <w:rFonts w:ascii="Arial" w:hAnsi="Arial" w:cs="Arial"/>
          <w:b/>
          <w:bCs/>
          <w:color w:val="000000"/>
        </w:rPr>
        <w:endnoteReference w:id="2"/>
      </w:r>
      <w:r w:rsidRPr="008F33A5">
        <w:rPr>
          <w:rFonts w:ascii="Arial" w:hAnsi="Arial" w:cs="Arial"/>
          <w:bCs/>
          <w:color w:val="000000"/>
        </w:rPr>
        <w:t xml:space="preserve"> </w:t>
      </w:r>
      <w:r w:rsidR="00055F1E" w:rsidRPr="008F33A5">
        <w:rPr>
          <w:rFonts w:ascii="Arial" w:hAnsi="Arial" w:cs="Arial"/>
          <w:bCs/>
          <w:color w:val="000000"/>
        </w:rPr>
        <w:t>requires all anticipatory reasonable adjustments</w:t>
      </w:r>
      <w:r w:rsidR="008F33A5">
        <w:rPr>
          <w:rFonts w:ascii="Arial" w:hAnsi="Arial" w:cs="Arial"/>
          <w:bCs/>
          <w:color w:val="000000"/>
        </w:rPr>
        <w:t>,</w:t>
      </w:r>
      <w:r w:rsidR="00055F1E" w:rsidRPr="008F33A5">
        <w:rPr>
          <w:rFonts w:ascii="Arial" w:hAnsi="Arial" w:cs="Arial"/>
          <w:bCs/>
          <w:color w:val="000000"/>
        </w:rPr>
        <w:t xml:space="preserve"> </w:t>
      </w:r>
      <w:r w:rsidR="000515F0">
        <w:rPr>
          <w:rFonts w:ascii="Arial" w:hAnsi="Arial" w:cs="Arial"/>
          <w:bCs/>
          <w:color w:val="000000"/>
        </w:rPr>
        <w:t xml:space="preserve">to be made, </w:t>
      </w:r>
      <w:r w:rsidR="00055F1E" w:rsidRPr="008F33A5">
        <w:rPr>
          <w:rFonts w:ascii="Arial" w:hAnsi="Arial" w:cs="Arial"/>
          <w:bCs/>
          <w:color w:val="000000"/>
        </w:rPr>
        <w:t xml:space="preserve">including to </w:t>
      </w:r>
      <w:r w:rsidR="000515F0">
        <w:rPr>
          <w:rFonts w:ascii="Arial" w:hAnsi="Arial" w:cs="Arial"/>
          <w:bCs/>
          <w:color w:val="000000"/>
        </w:rPr>
        <w:t xml:space="preserve">regulations, </w:t>
      </w:r>
      <w:r w:rsidR="00055F1E" w:rsidRPr="008F33A5">
        <w:rPr>
          <w:rFonts w:ascii="Arial" w:hAnsi="Arial" w:cs="Arial"/>
          <w:bCs/>
          <w:color w:val="000000"/>
        </w:rPr>
        <w:t>to provide Disabled people with equal access.</w:t>
      </w:r>
    </w:p>
    <w:p w14:paraId="0777350A" w14:textId="23D65564" w:rsidR="00446164" w:rsidRPr="008F33A5" w:rsidRDefault="00755E48" w:rsidP="00A47267">
      <w:pPr>
        <w:pStyle w:val="ListParagraph"/>
        <w:numPr>
          <w:ilvl w:val="0"/>
          <w:numId w:val="23"/>
        </w:numPr>
        <w:spacing w:after="80"/>
        <w:ind w:left="284" w:hanging="357"/>
        <w:rPr>
          <w:rFonts w:ascii="Arial" w:hAnsi="Arial" w:cs="Arial"/>
          <w:bCs/>
          <w:color w:val="000000"/>
        </w:rPr>
      </w:pPr>
      <w:r w:rsidRPr="008F33A5">
        <w:rPr>
          <w:rFonts w:ascii="Arial" w:hAnsi="Arial" w:cs="Arial"/>
          <w:b/>
          <w:bCs/>
          <w:color w:val="000000"/>
        </w:rPr>
        <w:t>The Mental Capacity Act 2005</w:t>
      </w:r>
      <w:r w:rsidR="001A750B">
        <w:rPr>
          <w:rStyle w:val="EndnoteReference"/>
          <w:rFonts w:ascii="Arial" w:hAnsi="Arial" w:cs="Arial"/>
          <w:b/>
          <w:bCs/>
          <w:color w:val="000000"/>
        </w:rPr>
        <w:endnoteReference w:id="3"/>
      </w:r>
      <w:r w:rsidR="00055F1E" w:rsidRPr="008F33A5">
        <w:rPr>
          <w:rFonts w:ascii="Arial" w:hAnsi="Arial" w:cs="Arial"/>
          <w:bCs/>
          <w:color w:val="000000"/>
        </w:rPr>
        <w:t xml:space="preserve"> requires that all adults are presumed to have capacity to make</w:t>
      </w:r>
      <w:r w:rsidR="008F33A5">
        <w:rPr>
          <w:rFonts w:ascii="Arial" w:hAnsi="Arial" w:cs="Arial"/>
          <w:bCs/>
          <w:color w:val="000000"/>
        </w:rPr>
        <w:t xml:space="preserve"> </w:t>
      </w:r>
      <w:r w:rsidR="00055F1E" w:rsidRPr="008F33A5">
        <w:rPr>
          <w:rFonts w:ascii="Arial" w:hAnsi="Arial" w:cs="Arial"/>
          <w:bCs/>
          <w:color w:val="000000"/>
        </w:rPr>
        <w:t>decisions</w:t>
      </w:r>
      <w:r w:rsidR="008F33A5">
        <w:rPr>
          <w:rFonts w:ascii="Arial" w:hAnsi="Arial" w:cs="Arial"/>
          <w:bCs/>
          <w:color w:val="000000"/>
        </w:rPr>
        <w:t>, except where</w:t>
      </w:r>
      <w:r w:rsidR="00055F1E" w:rsidRPr="008F33A5">
        <w:rPr>
          <w:rFonts w:ascii="Arial" w:hAnsi="Arial" w:cs="Arial"/>
          <w:bCs/>
          <w:color w:val="000000"/>
        </w:rPr>
        <w:t xml:space="preserve"> an individual is assessed as not having capacity.</w:t>
      </w:r>
    </w:p>
    <w:p w14:paraId="1AC57A7A" w14:textId="0BDE2C3F" w:rsidR="008F33A5" w:rsidRDefault="008F33A5" w:rsidP="00A47267">
      <w:pPr>
        <w:pStyle w:val="ListParagraph"/>
        <w:numPr>
          <w:ilvl w:val="0"/>
          <w:numId w:val="23"/>
        </w:numPr>
        <w:spacing w:after="80"/>
        <w:ind w:left="284" w:hanging="357"/>
        <w:rPr>
          <w:rFonts w:ascii="Arial" w:hAnsi="Arial" w:cs="Arial"/>
          <w:bCs/>
          <w:color w:val="000000"/>
        </w:rPr>
      </w:pPr>
      <w:r w:rsidRPr="008F33A5">
        <w:rPr>
          <w:rFonts w:ascii="Arial" w:hAnsi="Arial" w:cs="Arial"/>
          <w:b/>
          <w:bCs/>
          <w:color w:val="000000"/>
        </w:rPr>
        <w:t>Equal access rights:</w:t>
      </w:r>
      <w:r>
        <w:rPr>
          <w:rFonts w:ascii="Arial" w:hAnsi="Arial" w:cs="Arial"/>
          <w:bCs/>
          <w:color w:val="000000"/>
        </w:rPr>
        <w:t xml:space="preserve"> </w:t>
      </w:r>
      <w:r w:rsidR="00BA3A11">
        <w:rPr>
          <w:rFonts w:ascii="Arial" w:hAnsi="Arial" w:cs="Arial"/>
          <w:bCs/>
          <w:color w:val="000000"/>
        </w:rPr>
        <w:t>To meet the requirements of the Mental Capacity Act and Equality Act, mobility device regulations</w:t>
      </w:r>
      <w:r w:rsidRPr="008F33A5">
        <w:rPr>
          <w:rFonts w:ascii="Arial" w:hAnsi="Arial" w:cs="Arial"/>
          <w:bCs/>
          <w:color w:val="000000"/>
        </w:rPr>
        <w:t xml:space="preserve"> must provide equal </w:t>
      </w:r>
      <w:r w:rsidR="001F1457">
        <w:rPr>
          <w:rFonts w:ascii="Arial" w:hAnsi="Arial" w:cs="Arial"/>
          <w:bCs/>
          <w:color w:val="000000"/>
        </w:rPr>
        <w:t>rights to access</w:t>
      </w:r>
      <w:r w:rsidR="00D47D43">
        <w:rPr>
          <w:rFonts w:ascii="Arial" w:hAnsi="Arial" w:cs="Arial"/>
          <w:bCs/>
          <w:color w:val="000000"/>
        </w:rPr>
        <w:t xml:space="preserve"> </w:t>
      </w:r>
      <w:r w:rsidRPr="008F33A5">
        <w:rPr>
          <w:rFonts w:ascii="Arial" w:hAnsi="Arial" w:cs="Arial"/>
          <w:bCs/>
          <w:color w:val="000000"/>
        </w:rPr>
        <w:t>pedestrian, cycling and cycling-equivalent mobility for Disabled people. This must include</w:t>
      </w:r>
      <w:r w:rsidR="001F1457">
        <w:rPr>
          <w:rFonts w:ascii="Arial" w:hAnsi="Arial" w:cs="Arial"/>
          <w:bCs/>
          <w:color w:val="000000"/>
        </w:rPr>
        <w:t xml:space="preserve"> rights for</w:t>
      </w:r>
      <w:r w:rsidRPr="008F33A5">
        <w:rPr>
          <w:rFonts w:ascii="Arial" w:hAnsi="Arial" w:cs="Arial"/>
          <w:bCs/>
          <w:color w:val="000000"/>
        </w:rPr>
        <w:t>:</w:t>
      </w:r>
    </w:p>
    <w:p w14:paraId="3C7AC0B6" w14:textId="2AE243B4" w:rsidR="008F33A5" w:rsidRPr="008F33A5" w:rsidRDefault="008F33A5" w:rsidP="004C27C8">
      <w:pPr>
        <w:pStyle w:val="ListParagraph"/>
        <w:numPr>
          <w:ilvl w:val="1"/>
          <w:numId w:val="23"/>
        </w:numPr>
        <w:spacing w:after="80"/>
        <w:ind w:left="567" w:hanging="283"/>
        <w:rPr>
          <w:rFonts w:ascii="Arial" w:hAnsi="Arial" w:cs="Arial"/>
          <w:bCs/>
          <w:color w:val="000000"/>
        </w:rPr>
      </w:pPr>
      <w:r w:rsidRPr="008F33A5">
        <w:rPr>
          <w:rFonts w:ascii="Arial" w:hAnsi="Arial" w:cs="Arial"/>
          <w:bCs/>
          <w:color w:val="000000"/>
        </w:rPr>
        <w:t xml:space="preserve">Disabled people to use </w:t>
      </w:r>
      <w:r w:rsidR="004523C5">
        <w:rPr>
          <w:rFonts w:ascii="Arial" w:hAnsi="Arial" w:cs="Arial"/>
          <w:bCs/>
          <w:color w:val="000000"/>
        </w:rPr>
        <w:t>diverse</w:t>
      </w:r>
      <w:r w:rsidRPr="008F33A5">
        <w:rPr>
          <w:rFonts w:ascii="Arial" w:hAnsi="Arial" w:cs="Arial"/>
          <w:bCs/>
          <w:color w:val="000000"/>
        </w:rPr>
        <w:t xml:space="preserve"> mobility aids at pedestrian speeds </w:t>
      </w:r>
      <w:r w:rsidR="004523C5">
        <w:rPr>
          <w:rFonts w:ascii="Arial" w:hAnsi="Arial" w:cs="Arial"/>
          <w:bCs/>
          <w:color w:val="000000"/>
        </w:rPr>
        <w:t xml:space="preserve">in </w:t>
      </w:r>
      <w:r w:rsidR="00A47267">
        <w:rPr>
          <w:rFonts w:ascii="Arial" w:hAnsi="Arial" w:cs="Arial"/>
          <w:bCs/>
          <w:color w:val="000000"/>
        </w:rPr>
        <w:t xml:space="preserve">all pedestrian spaces, and at cycling-equivalent speeds </w:t>
      </w:r>
      <w:r w:rsidR="004523C5">
        <w:rPr>
          <w:rFonts w:ascii="Arial" w:hAnsi="Arial" w:cs="Arial"/>
          <w:bCs/>
          <w:color w:val="000000"/>
        </w:rPr>
        <w:t>wherever cycling is permitted</w:t>
      </w:r>
      <w:r>
        <w:rPr>
          <w:rFonts w:ascii="Arial" w:hAnsi="Arial" w:cs="Arial"/>
          <w:bCs/>
          <w:color w:val="000000"/>
        </w:rPr>
        <w:t>;</w:t>
      </w:r>
      <w:r w:rsidR="00B750E6">
        <w:rPr>
          <w:rStyle w:val="EndnoteReference"/>
          <w:rFonts w:ascii="Arial" w:hAnsi="Arial" w:cs="Arial"/>
          <w:bCs/>
          <w:color w:val="000000"/>
        </w:rPr>
        <w:endnoteReference w:id="4"/>
      </w:r>
      <w:r w:rsidR="00DF7F70">
        <w:rPr>
          <w:rFonts w:ascii="Arial" w:hAnsi="Arial" w:cs="Arial"/>
          <w:bCs/>
          <w:color w:val="000000"/>
        </w:rPr>
        <w:t xml:space="preserve"> </w:t>
      </w:r>
      <w:r w:rsidR="00DF7F70">
        <w:rPr>
          <w:rStyle w:val="EndnoteReference"/>
          <w:rFonts w:ascii="Arial" w:hAnsi="Arial" w:cs="Arial"/>
          <w:bCs/>
          <w:color w:val="000000"/>
        </w:rPr>
        <w:endnoteReference w:id="5"/>
      </w:r>
    </w:p>
    <w:p w14:paraId="76ECBA3E" w14:textId="583D8026" w:rsidR="00537E81" w:rsidRPr="004C27C8" w:rsidRDefault="008F33A5" w:rsidP="004C27C8">
      <w:pPr>
        <w:pStyle w:val="ListParagraph"/>
        <w:numPr>
          <w:ilvl w:val="1"/>
          <w:numId w:val="23"/>
        </w:numPr>
        <w:spacing w:after="80"/>
        <w:ind w:left="567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Disabled people </w:t>
      </w:r>
      <w:r w:rsidR="001A750B">
        <w:rPr>
          <w:rFonts w:ascii="Arial" w:hAnsi="Arial" w:cs="Arial"/>
          <w:bCs/>
          <w:color w:val="000000"/>
        </w:rPr>
        <w:t xml:space="preserve">of all ages to use </w:t>
      </w:r>
      <w:r w:rsidR="00537E81">
        <w:rPr>
          <w:rFonts w:ascii="Arial" w:hAnsi="Arial" w:cs="Arial"/>
          <w:bCs/>
          <w:color w:val="000000"/>
        </w:rPr>
        <w:t xml:space="preserve">our chosen </w:t>
      </w:r>
      <w:r w:rsidR="001A750B">
        <w:rPr>
          <w:rFonts w:ascii="Arial" w:hAnsi="Arial" w:cs="Arial"/>
          <w:bCs/>
          <w:color w:val="000000"/>
        </w:rPr>
        <w:t>mobility aids to move in equivalent ways to non-disabled peers, including</w:t>
      </w:r>
      <w:r w:rsidR="004C27C8">
        <w:rPr>
          <w:rFonts w:ascii="Arial" w:hAnsi="Arial" w:cs="Arial"/>
          <w:bCs/>
          <w:color w:val="000000"/>
        </w:rPr>
        <w:t xml:space="preserve"> but not limited to</w:t>
      </w:r>
      <w:r w:rsidR="00A47267">
        <w:rPr>
          <w:rFonts w:ascii="Arial" w:hAnsi="Arial" w:cs="Arial"/>
          <w:bCs/>
          <w:color w:val="000000"/>
        </w:rPr>
        <w:t>:</w:t>
      </w:r>
    </w:p>
    <w:p w14:paraId="6189FD65" w14:textId="4EB2D8F1" w:rsidR="004C27C8" w:rsidRDefault="00C1547C" w:rsidP="004C27C8">
      <w:pPr>
        <w:pStyle w:val="ListParagraph"/>
        <w:numPr>
          <w:ilvl w:val="2"/>
          <w:numId w:val="23"/>
        </w:numPr>
        <w:spacing w:after="80"/>
        <w:ind w:left="851" w:hanging="14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right for </w:t>
      </w:r>
      <w:r w:rsidR="00A47267">
        <w:rPr>
          <w:rFonts w:ascii="Arial" w:hAnsi="Arial" w:cs="Arial"/>
          <w:bCs/>
          <w:color w:val="000000"/>
        </w:rPr>
        <w:t xml:space="preserve">Disabled people to transport </w:t>
      </w:r>
      <w:r w:rsidR="0077175D">
        <w:rPr>
          <w:rFonts w:ascii="Arial" w:hAnsi="Arial" w:cs="Arial"/>
          <w:bCs/>
          <w:color w:val="000000"/>
        </w:rPr>
        <w:t>other</w:t>
      </w:r>
      <w:r w:rsidR="000515F0">
        <w:rPr>
          <w:rFonts w:ascii="Arial" w:hAnsi="Arial" w:cs="Arial"/>
          <w:bCs/>
          <w:color w:val="000000"/>
        </w:rPr>
        <w:t>s</w:t>
      </w:r>
      <w:r w:rsidR="00FD2CF8">
        <w:rPr>
          <w:rFonts w:ascii="Arial" w:hAnsi="Arial" w:cs="Arial"/>
          <w:bCs/>
          <w:color w:val="000000"/>
        </w:rPr>
        <w:t xml:space="preserve"> of all ages</w:t>
      </w:r>
      <w:r w:rsidR="00A47267">
        <w:rPr>
          <w:rFonts w:ascii="Arial" w:hAnsi="Arial" w:cs="Arial"/>
          <w:bCs/>
          <w:color w:val="000000"/>
        </w:rPr>
        <w:t xml:space="preserve"> and cargo </w:t>
      </w:r>
      <w:r>
        <w:rPr>
          <w:rFonts w:ascii="Arial" w:hAnsi="Arial" w:cs="Arial"/>
          <w:bCs/>
          <w:color w:val="000000"/>
        </w:rPr>
        <w:t xml:space="preserve">(e.g. </w:t>
      </w:r>
      <w:r w:rsidR="00FD2CF8">
        <w:rPr>
          <w:rFonts w:ascii="Arial" w:hAnsi="Arial" w:cs="Arial"/>
          <w:bCs/>
          <w:color w:val="000000"/>
        </w:rPr>
        <w:t xml:space="preserve">shopping </w:t>
      </w:r>
      <w:r w:rsidR="00A47267">
        <w:rPr>
          <w:rFonts w:ascii="Arial" w:hAnsi="Arial" w:cs="Arial"/>
          <w:bCs/>
          <w:color w:val="000000"/>
        </w:rPr>
        <w:t>and luggage</w:t>
      </w:r>
      <w:r>
        <w:rPr>
          <w:rFonts w:ascii="Arial" w:hAnsi="Arial" w:cs="Arial"/>
          <w:bCs/>
          <w:color w:val="000000"/>
        </w:rPr>
        <w:t>)</w:t>
      </w:r>
      <w:r w:rsidR="00A47267">
        <w:rPr>
          <w:rFonts w:ascii="Arial" w:hAnsi="Arial" w:cs="Arial"/>
          <w:bCs/>
          <w:color w:val="000000"/>
        </w:rPr>
        <w:t xml:space="preserve"> in comparable </w:t>
      </w:r>
      <w:r w:rsidR="00FD2CF8">
        <w:rPr>
          <w:rFonts w:ascii="Arial" w:hAnsi="Arial" w:cs="Arial"/>
          <w:bCs/>
          <w:color w:val="000000"/>
        </w:rPr>
        <w:t>ways</w:t>
      </w:r>
      <w:r w:rsidR="00A47267">
        <w:rPr>
          <w:rFonts w:ascii="Arial" w:hAnsi="Arial" w:cs="Arial"/>
          <w:bCs/>
          <w:color w:val="000000"/>
        </w:rPr>
        <w:t xml:space="preserve"> to non-disabled people walking/cycling, e.g. using pushchairs, trailers, child seats/carriers</w:t>
      </w:r>
      <w:r w:rsidR="00FD2CF8">
        <w:rPr>
          <w:rFonts w:ascii="Arial" w:hAnsi="Arial" w:cs="Arial"/>
          <w:bCs/>
          <w:color w:val="000000"/>
        </w:rPr>
        <w:t xml:space="preserve"> </w:t>
      </w:r>
      <w:r w:rsidR="00A47267">
        <w:rPr>
          <w:rFonts w:ascii="Arial" w:hAnsi="Arial" w:cs="Arial"/>
          <w:bCs/>
          <w:color w:val="000000"/>
        </w:rPr>
        <w:t>and multi-person</w:t>
      </w:r>
      <w:r w:rsidR="004C27C8">
        <w:rPr>
          <w:rFonts w:ascii="Arial" w:hAnsi="Arial" w:cs="Arial"/>
          <w:bCs/>
          <w:color w:val="000000"/>
        </w:rPr>
        <w:t>/separable</w:t>
      </w:r>
      <w:r w:rsidR="00A47267">
        <w:rPr>
          <w:rFonts w:ascii="Arial" w:hAnsi="Arial" w:cs="Arial"/>
          <w:bCs/>
          <w:color w:val="000000"/>
        </w:rPr>
        <w:t xml:space="preserve"> aids</w:t>
      </w:r>
      <w:r w:rsidR="004C27C8">
        <w:rPr>
          <w:rFonts w:ascii="Arial" w:hAnsi="Arial" w:cs="Arial"/>
          <w:bCs/>
          <w:color w:val="000000"/>
        </w:rPr>
        <w:t>;</w:t>
      </w:r>
      <w:r w:rsidR="00B750E6">
        <w:rPr>
          <w:rStyle w:val="EndnoteReference"/>
          <w:rFonts w:ascii="Arial" w:hAnsi="Arial" w:cs="Arial"/>
          <w:bCs/>
          <w:color w:val="000000"/>
        </w:rPr>
        <w:endnoteReference w:id="6"/>
      </w:r>
      <w:r w:rsidR="00DF7F70">
        <w:rPr>
          <w:rFonts w:ascii="Arial" w:hAnsi="Arial" w:cs="Arial"/>
          <w:bCs/>
          <w:color w:val="000000"/>
        </w:rPr>
        <w:t xml:space="preserve"> </w:t>
      </w:r>
      <w:r w:rsidR="00DF7F70">
        <w:rPr>
          <w:rStyle w:val="EndnoteReference"/>
          <w:rFonts w:ascii="Arial" w:hAnsi="Arial" w:cs="Arial"/>
          <w:bCs/>
          <w:color w:val="000000"/>
        </w:rPr>
        <w:endnoteReference w:id="7"/>
      </w:r>
      <w:r w:rsidR="004C27C8" w:rsidRPr="004C27C8">
        <w:rPr>
          <w:rFonts w:ascii="Arial" w:hAnsi="Arial" w:cs="Arial"/>
          <w:bCs/>
          <w:color w:val="000000"/>
        </w:rPr>
        <w:t xml:space="preserve"> </w:t>
      </w:r>
    </w:p>
    <w:p w14:paraId="49B22245" w14:textId="63AC2BFD" w:rsidR="001A750B" w:rsidRPr="008F33A5" w:rsidRDefault="00C1547C" w:rsidP="004C27C8">
      <w:pPr>
        <w:pStyle w:val="ListParagraph"/>
        <w:numPr>
          <w:ilvl w:val="2"/>
          <w:numId w:val="23"/>
        </w:numPr>
        <w:spacing w:after="80"/>
        <w:ind w:left="851" w:hanging="14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right for </w:t>
      </w:r>
      <w:r w:rsidR="004C27C8">
        <w:rPr>
          <w:rFonts w:ascii="Arial" w:hAnsi="Arial" w:cs="Arial"/>
          <w:bCs/>
          <w:color w:val="000000"/>
        </w:rPr>
        <w:t xml:space="preserve">Disabled children to </w:t>
      </w:r>
      <w:r w:rsidR="001F1457">
        <w:rPr>
          <w:rFonts w:ascii="Arial" w:hAnsi="Arial" w:cs="Arial"/>
          <w:bCs/>
          <w:color w:val="000000"/>
        </w:rPr>
        <w:t>use devices enabl</w:t>
      </w:r>
      <w:r>
        <w:rPr>
          <w:rFonts w:ascii="Arial" w:hAnsi="Arial" w:cs="Arial"/>
          <w:bCs/>
          <w:color w:val="000000"/>
        </w:rPr>
        <w:t>ing</w:t>
      </w:r>
      <w:r w:rsidR="001F1457">
        <w:rPr>
          <w:rFonts w:ascii="Arial" w:hAnsi="Arial" w:cs="Arial"/>
          <w:bCs/>
          <w:color w:val="000000"/>
        </w:rPr>
        <w:t xml:space="preserve"> movement</w:t>
      </w:r>
      <w:r w:rsidR="004C27C8">
        <w:rPr>
          <w:rFonts w:ascii="Arial" w:hAnsi="Arial" w:cs="Arial"/>
          <w:bCs/>
          <w:color w:val="000000"/>
        </w:rPr>
        <w:t xml:space="preserve"> at running and cycling-equivalent speeds, </w:t>
      </w:r>
      <w:r>
        <w:rPr>
          <w:rFonts w:ascii="Arial" w:hAnsi="Arial" w:cs="Arial"/>
          <w:bCs/>
          <w:color w:val="000000"/>
        </w:rPr>
        <w:t>as</w:t>
      </w:r>
      <w:r w:rsidR="004C27C8">
        <w:rPr>
          <w:rFonts w:ascii="Arial" w:hAnsi="Arial" w:cs="Arial"/>
          <w:bCs/>
          <w:color w:val="000000"/>
        </w:rPr>
        <w:t xml:space="preserve"> their responsible adults deem appropriate.</w:t>
      </w:r>
      <w:r w:rsidR="004C27C8">
        <w:rPr>
          <w:rStyle w:val="EndnoteReference"/>
          <w:rFonts w:ascii="Arial" w:hAnsi="Arial" w:cs="Arial"/>
          <w:bCs/>
          <w:color w:val="000000"/>
        </w:rPr>
        <w:endnoteReference w:id="8"/>
      </w:r>
    </w:p>
    <w:p w14:paraId="69C08BE7" w14:textId="76A8F5AB" w:rsidR="00A47267" w:rsidRPr="008F33A5" w:rsidRDefault="006A42B5" w:rsidP="00A47267">
      <w:pPr>
        <w:pStyle w:val="ListParagraph"/>
        <w:numPr>
          <w:ilvl w:val="0"/>
          <w:numId w:val="23"/>
        </w:numPr>
        <w:spacing w:after="80"/>
        <w:ind w:lef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Mobility device regulations</w:t>
      </w:r>
      <w:r w:rsidR="00A47267">
        <w:rPr>
          <w:rFonts w:ascii="Arial" w:hAnsi="Arial" w:cs="Arial"/>
          <w:bCs/>
          <w:color w:val="000000"/>
        </w:rPr>
        <w:t xml:space="preserve"> must be least-restrictive, future-proofed and clearly worded. Regulations </w:t>
      </w:r>
      <w:r>
        <w:rPr>
          <w:rFonts w:ascii="Arial" w:hAnsi="Arial" w:cs="Arial"/>
          <w:bCs/>
          <w:color w:val="000000"/>
        </w:rPr>
        <w:t>and associated standards</w:t>
      </w:r>
      <w:r w:rsidR="00A47267">
        <w:rPr>
          <w:rFonts w:ascii="Arial" w:hAnsi="Arial" w:cs="Arial"/>
          <w:bCs/>
          <w:color w:val="000000"/>
        </w:rPr>
        <w:t xml:space="preserve"> must be freely available in accessible formats.</w:t>
      </w:r>
      <w:r w:rsidR="00DF7F70">
        <w:rPr>
          <w:rStyle w:val="EndnoteReference"/>
          <w:rFonts w:ascii="Arial" w:hAnsi="Arial" w:cs="Arial"/>
          <w:bCs/>
          <w:color w:val="000000"/>
        </w:rPr>
        <w:endnoteReference w:id="9"/>
      </w:r>
      <w:r w:rsidR="004C27C8">
        <w:rPr>
          <w:rFonts w:ascii="Arial" w:hAnsi="Arial" w:cs="Arial"/>
          <w:bCs/>
          <w:color w:val="000000"/>
        </w:rPr>
        <w:t xml:space="preserve"> </w:t>
      </w:r>
      <w:r w:rsidR="004C27C8">
        <w:rPr>
          <w:rStyle w:val="EndnoteReference"/>
          <w:rFonts w:ascii="Arial" w:hAnsi="Arial" w:cs="Arial"/>
          <w:bCs/>
          <w:color w:val="000000"/>
        </w:rPr>
        <w:endnoteReference w:id="10"/>
      </w:r>
    </w:p>
    <w:p w14:paraId="63AE42C4" w14:textId="594B543F" w:rsidR="008F33A5" w:rsidRDefault="00537E81" w:rsidP="00A47267">
      <w:pPr>
        <w:pStyle w:val="ListParagraph"/>
        <w:numPr>
          <w:ilvl w:val="0"/>
          <w:numId w:val="23"/>
        </w:numPr>
        <w:spacing w:after="80"/>
        <w:ind w:lef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Disabled people using mobility aids are </w:t>
      </w:r>
      <w:r w:rsidR="00A47267">
        <w:rPr>
          <w:rFonts w:ascii="Arial" w:hAnsi="Arial" w:cs="Arial"/>
          <w:bCs/>
          <w:color w:val="000000"/>
        </w:rPr>
        <w:t xml:space="preserve">subject to the same civil and criminal enforcement against dangerous and antisocial behaviour that apply to </w:t>
      </w:r>
      <w:r w:rsidR="00194AB0">
        <w:rPr>
          <w:rFonts w:ascii="Arial" w:hAnsi="Arial" w:cs="Arial"/>
          <w:bCs/>
          <w:color w:val="000000"/>
        </w:rPr>
        <w:t>everyone</w:t>
      </w:r>
      <w:r w:rsidR="00A47267">
        <w:rPr>
          <w:rFonts w:ascii="Arial" w:hAnsi="Arial" w:cs="Arial"/>
          <w:bCs/>
          <w:color w:val="000000"/>
        </w:rPr>
        <w:t>.</w:t>
      </w:r>
    </w:p>
    <w:p w14:paraId="19A2ACE6" w14:textId="343709BF" w:rsidR="00D808D2" w:rsidRDefault="00446164" w:rsidP="008F33A5">
      <w:pPr>
        <w:pStyle w:val="Heading2"/>
      </w:pPr>
      <w:r>
        <w:t>The 2026 DfT Consultation on Powered Mobility Devices</w:t>
      </w:r>
      <w:r w:rsidR="004C27C8">
        <w:t xml:space="preserve"> - concerns</w:t>
      </w:r>
    </w:p>
    <w:p w14:paraId="5E74852E" w14:textId="0CA8C9F2" w:rsidR="001A750B" w:rsidRDefault="00055F1E" w:rsidP="00A47267">
      <w:pPr>
        <w:spacing w:after="80"/>
      </w:pPr>
      <w:r>
        <w:t>Gunning Principle 2</w:t>
      </w:r>
      <w:r>
        <w:rPr>
          <w:rStyle w:val="EndnoteReference"/>
        </w:rPr>
        <w:endnoteReference w:id="11"/>
      </w:r>
      <w:r>
        <w:t xml:space="preserve"> requires that consultations provide “</w:t>
      </w:r>
      <w:r w:rsidRPr="00055F1E">
        <w:t>sufficient information to give ‘intelligent consideration’</w:t>
      </w:r>
      <w:r>
        <w:t>”</w:t>
      </w:r>
      <w:r w:rsidR="001A750B">
        <w:t>. This is extended in Cabinet Office Consultation Principle C.</w:t>
      </w:r>
      <w:r w:rsidR="001A750B">
        <w:rPr>
          <w:rStyle w:val="EndnoteReference"/>
        </w:rPr>
        <w:endnoteReference w:id="12"/>
      </w:r>
    </w:p>
    <w:p w14:paraId="14F8C9B2" w14:textId="499C4053" w:rsidR="00A47267" w:rsidRDefault="00A47267" w:rsidP="00A47267">
      <w:pPr>
        <w:spacing w:after="80"/>
        <w:rPr>
          <w:lang w:val="en-US"/>
        </w:rPr>
      </w:pPr>
      <w:r>
        <w:rPr>
          <w:lang w:val="en-US"/>
        </w:rPr>
        <w:t xml:space="preserve">Civil service questionnaire design guidance </w:t>
      </w:r>
      <w:r w:rsidR="00B94A60">
        <w:rPr>
          <w:lang w:val="en-US"/>
        </w:rPr>
        <w:t>states</w:t>
      </w:r>
      <w:r>
        <w:rPr>
          <w:lang w:val="en-US"/>
        </w:rPr>
        <w:t xml:space="preserve"> “avoid leading questions” and “ask balanced questions”.</w:t>
      </w:r>
      <w:r>
        <w:rPr>
          <w:rStyle w:val="EndnoteReference"/>
          <w:lang w:val="en-US"/>
        </w:rPr>
        <w:endnoteReference w:id="13"/>
      </w:r>
    </w:p>
    <w:p w14:paraId="517BC57C" w14:textId="44D7FD30" w:rsidR="001A750B" w:rsidRDefault="001A750B" w:rsidP="00A47267">
      <w:pPr>
        <w:spacing w:after="80"/>
        <w:rPr>
          <w:lang w:val="en-US"/>
        </w:rPr>
      </w:pPr>
      <w:r>
        <w:rPr>
          <w:lang w:val="en-US"/>
        </w:rPr>
        <w:t>This consultation does not provide adequate information to enable intelligent consideration or informed responses.</w:t>
      </w:r>
      <w:r w:rsidR="00A47267">
        <w:rPr>
          <w:lang w:val="en-US"/>
        </w:rPr>
        <w:t xml:space="preserve"> It includes multiple leading and unbalanced questions.</w:t>
      </w:r>
      <w:r>
        <w:rPr>
          <w:lang w:val="en-US"/>
        </w:rPr>
        <w:t xml:space="preserve"> For example:</w:t>
      </w:r>
    </w:p>
    <w:p w14:paraId="1C2D3347" w14:textId="1EF6B6A8" w:rsidR="00A47267" w:rsidRPr="00461EB7" w:rsidRDefault="00461EB7" w:rsidP="00461EB7">
      <w:pPr>
        <w:pStyle w:val="ListParagraph"/>
        <w:numPr>
          <w:ilvl w:val="0"/>
          <w:numId w:val="27"/>
        </w:numPr>
        <w:spacing w:after="80"/>
        <w:ind w:lef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Existing access rights are described inaccurately</w:t>
      </w:r>
      <w:r w:rsidR="006A42B5">
        <w:rPr>
          <w:rFonts w:ascii="Arial" w:hAnsi="Arial" w:cs="Arial"/>
          <w:bCs/>
          <w:color w:val="000000"/>
        </w:rPr>
        <w:t xml:space="preserve">, including failure to provide full </w:t>
      </w:r>
      <w:r>
        <w:rPr>
          <w:rFonts w:ascii="Arial" w:hAnsi="Arial" w:cs="Arial"/>
          <w:bCs/>
          <w:color w:val="000000"/>
        </w:rPr>
        <w:t>information on existing class 3 requirements</w:t>
      </w:r>
      <w:r w:rsidR="006A42B5">
        <w:rPr>
          <w:rFonts w:ascii="Arial" w:hAnsi="Arial" w:cs="Arial"/>
          <w:bCs/>
          <w:color w:val="000000"/>
        </w:rPr>
        <w:t xml:space="preserve"> and incorrectly implying class 1 and 2 device users do not have the same rights as other pedestrians to use carriageways</w:t>
      </w:r>
      <w:r>
        <w:rPr>
          <w:rFonts w:ascii="Arial" w:hAnsi="Arial" w:cs="Arial"/>
          <w:bCs/>
          <w:color w:val="000000"/>
        </w:rPr>
        <w:t>.</w:t>
      </w:r>
      <w:r w:rsidR="00DF7F70" w:rsidRPr="00461EB7">
        <w:rPr>
          <w:rStyle w:val="EndnoteReference"/>
        </w:rPr>
        <w:endnoteReference w:id="14"/>
      </w:r>
    </w:p>
    <w:p w14:paraId="00B808E8" w14:textId="0322DDDD" w:rsidR="00537E81" w:rsidRPr="00461EB7" w:rsidRDefault="006A42B5" w:rsidP="00461EB7">
      <w:pPr>
        <w:pStyle w:val="ListParagraph"/>
        <w:numPr>
          <w:ilvl w:val="0"/>
          <w:numId w:val="27"/>
        </w:numPr>
        <w:spacing w:after="80"/>
        <w:ind w:lef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Essential</w:t>
      </w:r>
      <w:r w:rsidR="00461EB7">
        <w:rPr>
          <w:rFonts w:ascii="Arial" w:hAnsi="Arial" w:cs="Arial"/>
          <w:bCs/>
          <w:color w:val="000000"/>
        </w:rPr>
        <w:t xml:space="preserve"> comparators including </w:t>
      </w:r>
      <w:r>
        <w:rPr>
          <w:rFonts w:ascii="Arial" w:hAnsi="Arial" w:cs="Arial"/>
          <w:bCs/>
          <w:color w:val="000000"/>
        </w:rPr>
        <w:t>pedestrian and cycling speeds, permitted passenger numbers/ages, device dimensions/weights and existing access rights are not included.</w:t>
      </w:r>
    </w:p>
    <w:p w14:paraId="74E24CBB" w14:textId="6BB99A4F" w:rsidR="00446164" w:rsidRPr="006A42B5" w:rsidRDefault="008C10BA" w:rsidP="0046149B">
      <w:pPr>
        <w:pStyle w:val="ListParagraph"/>
        <w:numPr>
          <w:ilvl w:val="0"/>
          <w:numId w:val="27"/>
        </w:numPr>
        <w:spacing w:after="80"/>
        <w:ind w:left="284"/>
        <w:rPr>
          <w:rFonts w:eastAsiaTheme="majorEastAsia" w:cstheme="majorBidi"/>
          <w:color w:val="000000" w:themeColor="text1"/>
          <w:szCs w:val="26"/>
          <w:lang w:val="en-US"/>
        </w:rPr>
      </w:pPr>
      <w:r>
        <w:rPr>
          <w:rFonts w:ascii="Arial" w:hAnsi="Arial" w:cs="Arial"/>
          <w:bCs/>
          <w:color w:val="000000"/>
        </w:rPr>
        <w:t>Multiple l</w:t>
      </w:r>
      <w:r w:rsidR="006A42B5">
        <w:rPr>
          <w:rFonts w:ascii="Arial" w:hAnsi="Arial" w:cs="Arial"/>
          <w:bCs/>
          <w:color w:val="000000"/>
        </w:rPr>
        <w:t xml:space="preserve">eading/unbalanced questions encourage respondents to </w:t>
      </w:r>
      <w:r w:rsidR="00542835">
        <w:rPr>
          <w:rFonts w:ascii="Arial" w:hAnsi="Arial" w:cs="Arial"/>
          <w:bCs/>
          <w:color w:val="000000"/>
        </w:rPr>
        <w:t>support suggestions</w:t>
      </w:r>
      <w:r w:rsidR="006A42B5">
        <w:rPr>
          <w:rFonts w:ascii="Arial" w:hAnsi="Arial" w:cs="Arial"/>
          <w:bCs/>
          <w:color w:val="000000"/>
        </w:rPr>
        <w:t xml:space="preserve"> which would breach the Equality Act and Mental Capacity Act</w:t>
      </w:r>
      <w:r w:rsidR="00C1547C">
        <w:rPr>
          <w:rFonts w:ascii="Arial" w:hAnsi="Arial" w:cs="Arial"/>
          <w:bCs/>
          <w:color w:val="000000"/>
        </w:rPr>
        <w:t>.</w:t>
      </w:r>
      <w:r w:rsidR="006A42B5">
        <w:rPr>
          <w:rFonts w:ascii="Arial" w:hAnsi="Arial" w:cs="Arial"/>
          <w:bCs/>
          <w:color w:val="000000"/>
        </w:rPr>
        <w:t xml:space="preserve"> </w:t>
      </w:r>
      <w:r w:rsidR="00C1547C">
        <w:rPr>
          <w:rFonts w:ascii="Arial" w:hAnsi="Arial" w:cs="Arial"/>
          <w:bCs/>
          <w:color w:val="000000"/>
        </w:rPr>
        <w:t>E</w:t>
      </w:r>
      <w:r w:rsidR="006A42B5">
        <w:rPr>
          <w:rFonts w:ascii="Arial" w:hAnsi="Arial" w:cs="Arial"/>
          <w:bCs/>
          <w:color w:val="000000"/>
        </w:rPr>
        <w:t>.g. “</w:t>
      </w:r>
      <w:r w:rsidR="00C1547C">
        <w:rPr>
          <w:rFonts w:ascii="Arial" w:hAnsi="Arial" w:cs="Arial"/>
          <w:bCs/>
          <w:color w:val="000000"/>
        </w:rPr>
        <w:t>M</w:t>
      </w:r>
      <w:r w:rsidR="006A42B5">
        <w:rPr>
          <w:rFonts w:ascii="Arial" w:hAnsi="Arial" w:cs="Arial"/>
          <w:bCs/>
          <w:color w:val="000000"/>
        </w:rPr>
        <w:t xml:space="preserve">inimum age of passengers” youngest response option is 1 year – </w:t>
      </w:r>
      <w:r w:rsidR="00C1547C">
        <w:rPr>
          <w:rFonts w:ascii="Arial" w:hAnsi="Arial" w:cs="Arial"/>
          <w:bCs/>
          <w:color w:val="000000"/>
        </w:rPr>
        <w:t>without option to</w:t>
      </w:r>
      <w:r w:rsidR="006A42B5">
        <w:rPr>
          <w:rFonts w:ascii="Arial" w:hAnsi="Arial" w:cs="Arial"/>
          <w:bCs/>
          <w:color w:val="000000"/>
        </w:rPr>
        <w:t xml:space="preserve"> permit babies. Questions and info provided foreground</w:t>
      </w:r>
      <w:r w:rsidR="00542835">
        <w:rPr>
          <w:rFonts w:ascii="Arial" w:hAnsi="Arial" w:cs="Arial"/>
          <w:bCs/>
          <w:color w:val="000000"/>
        </w:rPr>
        <w:t xml:space="preserve"> only</w:t>
      </w:r>
      <w:r w:rsidR="006A42B5">
        <w:rPr>
          <w:rFonts w:ascii="Arial" w:hAnsi="Arial" w:cs="Arial"/>
          <w:bCs/>
          <w:color w:val="000000"/>
        </w:rPr>
        <w:t xml:space="preserve"> direct risks, not risk reductions and benefits.</w:t>
      </w:r>
      <w:r w:rsidR="00446164" w:rsidRPr="00461EB7">
        <w:rPr>
          <w:lang w:val="en-US"/>
        </w:rPr>
        <w:br w:type="page"/>
      </w:r>
    </w:p>
    <w:p w14:paraId="1A61373E" w14:textId="4D2D7E32" w:rsidR="002F14FA" w:rsidRDefault="002F14FA" w:rsidP="001A750B">
      <w:pPr>
        <w:pStyle w:val="Heading2"/>
        <w:rPr>
          <w:lang w:val="en-US"/>
        </w:rPr>
      </w:pPr>
      <w:r>
        <w:rPr>
          <w:lang w:val="en-US"/>
        </w:rPr>
        <w:lastRenderedPageBreak/>
        <w:t>Impact of present &amp; potential regulation</w:t>
      </w:r>
      <w:r w:rsidR="00C120D4">
        <w:rPr>
          <w:lang w:val="en-US"/>
        </w:rPr>
        <w:t>s</w:t>
      </w:r>
    </w:p>
    <w:p w14:paraId="654F341B" w14:textId="01D8AC88" w:rsidR="0066121D" w:rsidRPr="0066121D" w:rsidRDefault="00157329" w:rsidP="000718FE">
      <w:pPr>
        <w:spacing w:after="80"/>
        <w:rPr>
          <w:lang w:val="en-US"/>
        </w:rPr>
      </w:pPr>
      <w:r>
        <w:rPr>
          <w:lang w:val="en-US"/>
        </w:rPr>
        <w:t>W</w:t>
      </w:r>
      <w:r w:rsidR="0066121D">
        <w:rPr>
          <w:lang w:val="en-US"/>
        </w:rPr>
        <w:t xml:space="preserve">e </w:t>
      </w:r>
      <w:r>
        <w:rPr>
          <w:lang w:val="en-US"/>
        </w:rPr>
        <w:t>are receiving</w:t>
      </w:r>
      <w:r w:rsidR="0066121D">
        <w:rPr>
          <w:lang w:val="en-US"/>
        </w:rPr>
        <w:t xml:space="preserve"> messages </w:t>
      </w:r>
      <w:r>
        <w:rPr>
          <w:lang w:val="en-US"/>
        </w:rPr>
        <w:t xml:space="preserve">about impacts of mobility devices regulations </w:t>
      </w:r>
      <w:r w:rsidR="0066121D">
        <w:rPr>
          <w:lang w:val="en-US"/>
        </w:rPr>
        <w:t>from many Disabled people</w:t>
      </w:r>
      <w:r>
        <w:rPr>
          <w:lang w:val="en-US"/>
        </w:rPr>
        <w:t xml:space="preserve">. </w:t>
      </w:r>
      <w:r w:rsidR="0066121D">
        <w:rPr>
          <w:lang w:val="en-US"/>
        </w:rPr>
        <w:t xml:space="preserve">Broad themes </w:t>
      </w:r>
      <w:r w:rsidR="007C210A">
        <w:rPr>
          <w:lang w:val="en-US"/>
        </w:rPr>
        <w:t xml:space="preserve">are below with a few examples </w:t>
      </w:r>
      <w:r w:rsidR="00E06D2A">
        <w:rPr>
          <w:lang w:val="en-US"/>
        </w:rPr>
        <w:t>from</w:t>
      </w:r>
      <w:r w:rsidR="007C210A">
        <w:rPr>
          <w:lang w:val="en-US"/>
        </w:rPr>
        <w:t xml:space="preserve"> affected individuals</w:t>
      </w:r>
      <w:r w:rsidR="0066121D">
        <w:rPr>
          <w:lang w:val="en-US"/>
        </w:rPr>
        <w:t>:</w:t>
      </w:r>
    </w:p>
    <w:p w14:paraId="40BC3C15" w14:textId="20777151" w:rsidR="003E5B61" w:rsidRDefault="00C120D4" w:rsidP="000718FE">
      <w:pPr>
        <w:pStyle w:val="ListParagraph"/>
        <w:numPr>
          <w:ilvl w:val="0"/>
          <w:numId w:val="25"/>
        </w:numPr>
        <w:spacing w:after="80"/>
        <w:ind w:left="284"/>
        <w:rPr>
          <w:rFonts w:ascii="Arial" w:hAnsi="Arial" w:cs="Arial"/>
          <w:bCs/>
          <w:color w:val="000000"/>
        </w:rPr>
      </w:pPr>
      <w:r w:rsidRPr="00C120D4">
        <w:rPr>
          <w:rFonts w:ascii="Arial" w:hAnsi="Arial" w:cs="Arial"/>
          <w:b/>
          <w:bCs/>
          <w:color w:val="000000"/>
        </w:rPr>
        <w:t xml:space="preserve">Transporting children: </w:t>
      </w:r>
      <w:r w:rsidR="00986F3E">
        <w:rPr>
          <w:rFonts w:ascii="Arial" w:hAnsi="Arial" w:cs="Arial"/>
          <w:bCs/>
          <w:color w:val="000000"/>
        </w:rPr>
        <w:t xml:space="preserve">Disabled parents </w:t>
      </w:r>
      <w:r>
        <w:rPr>
          <w:rFonts w:ascii="Arial" w:hAnsi="Arial" w:cs="Arial"/>
          <w:bCs/>
          <w:color w:val="000000"/>
        </w:rPr>
        <w:t>face isolation, legal and social care risks</w:t>
      </w:r>
      <w:r w:rsidR="00E258E5">
        <w:rPr>
          <w:rFonts w:ascii="Arial" w:hAnsi="Arial" w:cs="Arial"/>
          <w:bCs/>
          <w:color w:val="000000"/>
        </w:rPr>
        <w:t xml:space="preserve"> due to the current prohibition on multi-person aids and trailers</w:t>
      </w:r>
      <w:r w:rsidR="0066121D">
        <w:rPr>
          <w:rFonts w:ascii="Arial" w:hAnsi="Arial" w:cs="Arial"/>
          <w:bCs/>
          <w:color w:val="000000"/>
        </w:rPr>
        <w:t>, e.g</w:t>
      </w:r>
      <w:r>
        <w:rPr>
          <w:rFonts w:ascii="Arial" w:hAnsi="Arial" w:cs="Arial"/>
          <w:bCs/>
          <w:color w:val="000000"/>
        </w:rPr>
        <w:t>.</w:t>
      </w:r>
    </w:p>
    <w:p w14:paraId="2B2859BE" w14:textId="64952BC6" w:rsidR="00180602" w:rsidRDefault="00180602" w:rsidP="000718FE">
      <w:pPr>
        <w:pStyle w:val="IntenseQuote"/>
        <w:spacing w:after="80"/>
        <w:contextualSpacing w:val="0"/>
      </w:pPr>
      <w:r w:rsidRPr="00805113">
        <w:rPr>
          <w:b/>
        </w:rPr>
        <w:t>M,</w:t>
      </w:r>
      <w:r>
        <w:t xml:space="preserve"> a mobility scooter user </w:t>
      </w:r>
      <w:r w:rsidR="0066121D">
        <w:t xml:space="preserve">banned by a court order </w:t>
      </w:r>
      <w:r w:rsidR="008856C8">
        <w:t xml:space="preserve">from transporting their children on their mobility scooter </w:t>
      </w:r>
      <w:r w:rsidR="0066121D">
        <w:t xml:space="preserve">during a custody battle </w:t>
      </w:r>
      <w:r>
        <w:t xml:space="preserve">– forcing them to choose between breaking the court order or </w:t>
      </w:r>
      <w:r w:rsidR="00F550C5">
        <w:t>being deemed an inadequate parent by the court</w:t>
      </w:r>
      <w:r w:rsidR="008856C8">
        <w:t xml:space="preserve"> </w:t>
      </w:r>
      <w:r>
        <w:t>for failing to get a child to school</w:t>
      </w:r>
      <w:r w:rsidR="000D45C5">
        <w:t>;</w:t>
      </w:r>
    </w:p>
    <w:p w14:paraId="34E1C011" w14:textId="751C33F1" w:rsidR="00180602" w:rsidRDefault="00180602" w:rsidP="000718FE">
      <w:pPr>
        <w:pStyle w:val="IntenseQuote"/>
        <w:spacing w:after="80"/>
        <w:contextualSpacing w:val="0"/>
      </w:pPr>
      <w:r w:rsidRPr="00805113">
        <w:rPr>
          <w:b/>
        </w:rPr>
        <w:t>N,</w:t>
      </w:r>
      <w:r>
        <w:t xml:space="preserve"> a wheelchair user</w:t>
      </w:r>
      <w:r w:rsidR="008856C8">
        <w:t>,</w:t>
      </w:r>
      <w:r>
        <w:t xml:space="preserve"> was required</w:t>
      </w:r>
      <w:r w:rsidR="000D45C5">
        <w:t xml:space="preserve"> </w:t>
      </w:r>
      <w:r>
        <w:t xml:space="preserve">by social care </w:t>
      </w:r>
      <w:r w:rsidR="000D45C5">
        <w:t>to get</w:t>
      </w:r>
      <w:r>
        <w:t xml:space="preserve"> written</w:t>
      </w:r>
      <w:r w:rsidR="000D45C5">
        <w:t xml:space="preserve"> police permission to </w:t>
      </w:r>
      <w:r>
        <w:t xml:space="preserve">make </w:t>
      </w:r>
      <w:r w:rsidR="008856C8">
        <w:t xml:space="preserve">local </w:t>
      </w:r>
      <w:r>
        <w:t>trips</w:t>
      </w:r>
      <w:r w:rsidR="000D45C5">
        <w:t xml:space="preserve"> with </w:t>
      </w:r>
      <w:r>
        <w:t>their</w:t>
      </w:r>
      <w:r w:rsidR="000D45C5">
        <w:t xml:space="preserve"> baby;</w:t>
      </w:r>
    </w:p>
    <w:p w14:paraId="4DD8E8E6" w14:textId="30A0B0D8" w:rsidR="003E5B61" w:rsidRPr="003E5B61" w:rsidRDefault="00BE5CFA" w:rsidP="000718FE">
      <w:pPr>
        <w:pStyle w:val="IntenseQuote"/>
        <w:spacing w:after="80"/>
        <w:contextualSpacing w:val="0"/>
      </w:pPr>
      <w:r w:rsidRPr="00805113">
        <w:rPr>
          <w:b/>
        </w:rPr>
        <w:t>P</w:t>
      </w:r>
      <w:r w:rsidR="00180602" w:rsidRPr="00805113">
        <w:rPr>
          <w:b/>
        </w:rPr>
        <w:t>,</w:t>
      </w:r>
      <w:r w:rsidR="00FA133E" w:rsidRPr="00805113">
        <w:rPr>
          <w:b/>
        </w:rPr>
        <w:t xml:space="preserve"> </w:t>
      </w:r>
      <w:r w:rsidR="00FA133E">
        <w:t>a mobility scooter user,</w:t>
      </w:r>
      <w:r w:rsidR="00180602">
        <w:t xml:space="preserve"> </w:t>
      </w:r>
      <w:r w:rsidR="00FA133E">
        <w:t>is</w:t>
      </w:r>
      <w:r w:rsidR="00180602">
        <w:t xml:space="preserve"> </w:t>
      </w:r>
      <w:r w:rsidR="000D45C5">
        <w:t xml:space="preserve">unable </w:t>
      </w:r>
      <w:r w:rsidR="00180602">
        <w:t xml:space="preserve">to buy a suitable </w:t>
      </w:r>
      <w:r w:rsidR="0066121D">
        <w:t xml:space="preserve">device to transport their </w:t>
      </w:r>
      <w:r w:rsidR="000C76A3">
        <w:t>babies</w:t>
      </w:r>
      <w:r w:rsidR="0066121D">
        <w:t xml:space="preserve"> securely</w:t>
      </w:r>
      <w:r w:rsidR="00180602">
        <w:t>.</w:t>
      </w:r>
      <w:r w:rsidR="0066121D">
        <w:t xml:space="preserve"> They are now unable to make local trips and are severely isolated.</w:t>
      </w:r>
    </w:p>
    <w:p w14:paraId="7415D275" w14:textId="45E265D4" w:rsidR="003E5B61" w:rsidRDefault="00C120D4" w:rsidP="000718FE">
      <w:pPr>
        <w:pStyle w:val="ListParagraph"/>
        <w:numPr>
          <w:ilvl w:val="0"/>
          <w:numId w:val="25"/>
        </w:numPr>
        <w:spacing w:after="80"/>
        <w:ind w:left="284"/>
        <w:rPr>
          <w:rFonts w:ascii="Arial" w:hAnsi="Arial" w:cs="Arial"/>
          <w:bCs/>
          <w:color w:val="000000"/>
        </w:rPr>
      </w:pPr>
      <w:r w:rsidRPr="00C120D4">
        <w:rPr>
          <w:rFonts w:ascii="Arial" w:hAnsi="Arial" w:cs="Arial"/>
          <w:b/>
          <w:bCs/>
          <w:color w:val="000000"/>
        </w:rPr>
        <w:t>Multi-adult aids:</w:t>
      </w:r>
      <w:r>
        <w:rPr>
          <w:rFonts w:ascii="Arial" w:hAnsi="Arial" w:cs="Arial"/>
          <w:bCs/>
          <w:color w:val="000000"/>
        </w:rPr>
        <w:t xml:space="preserve"> Disabled couples and families forced to keep driving</w:t>
      </w:r>
      <w:r w:rsidR="003E5B61">
        <w:rPr>
          <w:rFonts w:ascii="Arial" w:hAnsi="Arial" w:cs="Arial"/>
          <w:bCs/>
          <w:color w:val="000000"/>
        </w:rPr>
        <w:t>, break the law</w:t>
      </w:r>
      <w:r>
        <w:rPr>
          <w:rFonts w:ascii="Arial" w:hAnsi="Arial" w:cs="Arial"/>
          <w:bCs/>
          <w:color w:val="000000"/>
        </w:rPr>
        <w:t xml:space="preserve"> or lose independence when family members need to support </w:t>
      </w:r>
      <w:proofErr w:type="spellStart"/>
      <w:r>
        <w:rPr>
          <w:rFonts w:ascii="Arial" w:hAnsi="Arial" w:cs="Arial"/>
          <w:bCs/>
          <w:color w:val="000000"/>
        </w:rPr>
        <w:t xml:space="preserve">each </w:t>
      </w:r>
      <w:r w:rsidR="00FA133E">
        <w:rPr>
          <w:rFonts w:ascii="Arial" w:hAnsi="Arial" w:cs="Arial"/>
          <w:bCs/>
          <w:color w:val="000000"/>
        </w:rPr>
        <w:t>others’</w:t>
      </w:r>
      <w:proofErr w:type="spellEnd"/>
      <w:r w:rsidR="00FA133E">
        <w:rPr>
          <w:rFonts w:ascii="Arial" w:hAnsi="Arial" w:cs="Arial"/>
          <w:bCs/>
          <w:color w:val="000000"/>
        </w:rPr>
        <w:t xml:space="preserve"> mobility, e.g</w:t>
      </w:r>
      <w:r>
        <w:rPr>
          <w:rFonts w:ascii="Arial" w:hAnsi="Arial" w:cs="Arial"/>
          <w:bCs/>
          <w:color w:val="000000"/>
        </w:rPr>
        <w:t>.</w:t>
      </w:r>
    </w:p>
    <w:p w14:paraId="41B35133" w14:textId="28C705C9" w:rsidR="00180602" w:rsidRDefault="00180602" w:rsidP="000718FE">
      <w:pPr>
        <w:pStyle w:val="IntenseQuote"/>
        <w:spacing w:after="80"/>
        <w:contextualSpacing w:val="0"/>
      </w:pPr>
      <w:r w:rsidRPr="00805113">
        <w:rPr>
          <w:b/>
        </w:rPr>
        <w:t>David and Gill</w:t>
      </w:r>
      <w:r w:rsidR="00FA133E">
        <w:t xml:space="preserve"> </w:t>
      </w:r>
      <w:r>
        <w:t xml:space="preserve">are risking legal action to stay </w:t>
      </w:r>
      <w:r w:rsidR="000C76A3">
        <w:t xml:space="preserve">safely </w:t>
      </w:r>
      <w:r>
        <w:t xml:space="preserve">mobile </w:t>
      </w:r>
      <w:r w:rsidR="000C76A3">
        <w:t>with</w:t>
      </w:r>
      <w:r>
        <w:t xml:space="preserve"> their tandem mobility scooter</w:t>
      </w:r>
      <w:r w:rsidR="00FA133E">
        <w:t xml:space="preserve"> – find our more about them and others like them in the blog they made with us.</w:t>
      </w:r>
      <w:r w:rsidR="00FA133E">
        <w:rPr>
          <w:rStyle w:val="EndnoteReference"/>
          <w:rFonts w:ascii="Arial" w:hAnsi="Arial" w:cs="Arial"/>
          <w:bCs/>
          <w:color w:val="000000"/>
        </w:rPr>
        <w:endnoteReference w:id="15"/>
      </w:r>
    </w:p>
    <w:p w14:paraId="29A83F5E" w14:textId="0F229467" w:rsidR="003E5B61" w:rsidRDefault="00C120D4" w:rsidP="000718FE">
      <w:pPr>
        <w:pStyle w:val="ListParagraph"/>
        <w:numPr>
          <w:ilvl w:val="0"/>
          <w:numId w:val="25"/>
        </w:numPr>
        <w:spacing w:after="80"/>
        <w:ind w:left="284"/>
        <w:rPr>
          <w:rFonts w:ascii="Arial" w:hAnsi="Arial" w:cs="Arial"/>
          <w:bCs/>
          <w:color w:val="000000"/>
        </w:rPr>
      </w:pPr>
      <w:r w:rsidRPr="00C120D4">
        <w:rPr>
          <w:rFonts w:ascii="Arial" w:hAnsi="Arial" w:cs="Arial"/>
          <w:b/>
          <w:bCs/>
          <w:color w:val="000000"/>
        </w:rPr>
        <w:t>Luggage and cargo:</w:t>
      </w:r>
      <w:r>
        <w:rPr>
          <w:rFonts w:ascii="Arial" w:hAnsi="Arial" w:cs="Arial"/>
          <w:bCs/>
          <w:color w:val="000000"/>
        </w:rPr>
        <w:t xml:space="preserve"> Disabled people face extra expense and barriers to basic activities including shopping, employment, education and leisure activities due to </w:t>
      </w:r>
      <w:r w:rsidR="00E258E5">
        <w:rPr>
          <w:rFonts w:ascii="Arial" w:hAnsi="Arial" w:cs="Arial"/>
          <w:bCs/>
          <w:color w:val="000000"/>
        </w:rPr>
        <w:t>trailer</w:t>
      </w:r>
      <w:r>
        <w:rPr>
          <w:rFonts w:ascii="Arial" w:hAnsi="Arial" w:cs="Arial"/>
          <w:bCs/>
          <w:color w:val="000000"/>
        </w:rPr>
        <w:t xml:space="preserve"> ban</w:t>
      </w:r>
      <w:r w:rsidR="00E06D2A">
        <w:rPr>
          <w:rFonts w:ascii="Arial" w:hAnsi="Arial" w:cs="Arial"/>
          <w:bCs/>
          <w:color w:val="000000"/>
        </w:rPr>
        <w:t>, e.g</w:t>
      </w:r>
      <w:r>
        <w:rPr>
          <w:rFonts w:ascii="Arial" w:hAnsi="Arial" w:cs="Arial"/>
          <w:bCs/>
          <w:color w:val="000000"/>
        </w:rPr>
        <w:t>.</w:t>
      </w:r>
    </w:p>
    <w:p w14:paraId="50066CAF" w14:textId="14E00C6A" w:rsidR="003E5B61" w:rsidRPr="003E5B61" w:rsidRDefault="00BE5CFA" w:rsidP="000718FE">
      <w:pPr>
        <w:pStyle w:val="IntenseQuote"/>
        <w:spacing w:after="80"/>
        <w:contextualSpacing w:val="0"/>
      </w:pPr>
      <w:r w:rsidRPr="00805113">
        <w:rPr>
          <w:b/>
        </w:rPr>
        <w:t>R</w:t>
      </w:r>
      <w:r w:rsidR="00180602" w:rsidRPr="00805113">
        <w:rPr>
          <w:b/>
        </w:rPr>
        <w:t>,</w:t>
      </w:r>
      <w:r w:rsidR="00180602">
        <w:t xml:space="preserve"> a mobility scooter user</w:t>
      </w:r>
      <w:r w:rsidR="00805113">
        <w:t>,</w:t>
      </w:r>
      <w:r w:rsidR="00180602">
        <w:t xml:space="preserve"> </w:t>
      </w:r>
      <w:r w:rsidR="00E26C18">
        <w:t>needs</w:t>
      </w:r>
      <w:r w:rsidR="00180602">
        <w:t xml:space="preserve"> a trailer </w:t>
      </w:r>
      <w:r w:rsidR="00E26C18">
        <w:t xml:space="preserve">to be able to </w:t>
      </w:r>
      <w:r>
        <w:t>do their own</w:t>
      </w:r>
      <w:r w:rsidR="00180602">
        <w:t xml:space="preserve"> food shopping.</w:t>
      </w:r>
    </w:p>
    <w:p w14:paraId="04109851" w14:textId="371FDB07" w:rsidR="00781583" w:rsidRDefault="00781583" w:rsidP="000718FE">
      <w:pPr>
        <w:pStyle w:val="ListParagraph"/>
        <w:numPr>
          <w:ilvl w:val="0"/>
          <w:numId w:val="25"/>
        </w:numPr>
        <w:spacing w:after="80"/>
        <w:ind w:left="284"/>
        <w:rPr>
          <w:rFonts w:ascii="Arial" w:hAnsi="Arial" w:cs="Arial"/>
          <w:bCs/>
          <w:color w:val="000000"/>
        </w:rPr>
      </w:pPr>
      <w:r w:rsidRPr="00C120D4">
        <w:rPr>
          <w:rFonts w:ascii="Arial" w:hAnsi="Arial" w:cs="Arial"/>
          <w:b/>
          <w:bCs/>
          <w:color w:val="000000"/>
        </w:rPr>
        <w:t>Speed restrictions</w:t>
      </w:r>
      <w:r w:rsidR="00C120D4" w:rsidRPr="00C120D4">
        <w:rPr>
          <w:rFonts w:ascii="Arial" w:hAnsi="Arial" w:cs="Arial"/>
          <w:b/>
          <w:bCs/>
          <w:color w:val="000000"/>
        </w:rPr>
        <w:t>:</w:t>
      </w:r>
      <w:r w:rsidR="00C120D4">
        <w:rPr>
          <w:rFonts w:ascii="Arial" w:hAnsi="Arial" w:cs="Arial"/>
          <w:bCs/>
          <w:color w:val="000000"/>
        </w:rPr>
        <w:t xml:space="preserve"> Disabled people </w:t>
      </w:r>
      <w:r w:rsidR="00E06D2A">
        <w:rPr>
          <w:rFonts w:ascii="Arial" w:hAnsi="Arial" w:cs="Arial"/>
          <w:bCs/>
          <w:color w:val="000000"/>
        </w:rPr>
        <w:t>need</w:t>
      </w:r>
      <w:r w:rsidR="00C120D4">
        <w:rPr>
          <w:rFonts w:ascii="Arial" w:hAnsi="Arial" w:cs="Arial"/>
          <w:bCs/>
          <w:color w:val="000000"/>
        </w:rPr>
        <w:t xml:space="preserve"> to make trips at similar speeds to non-disabled people</w:t>
      </w:r>
      <w:r w:rsidR="00E06D2A">
        <w:rPr>
          <w:rFonts w:ascii="Arial" w:hAnsi="Arial" w:cs="Arial"/>
          <w:bCs/>
          <w:color w:val="000000"/>
        </w:rPr>
        <w:t>, or</w:t>
      </w:r>
      <w:r w:rsidR="00C120D4">
        <w:rPr>
          <w:rFonts w:ascii="Arial" w:hAnsi="Arial" w:cs="Arial"/>
          <w:bCs/>
          <w:color w:val="000000"/>
        </w:rPr>
        <w:t xml:space="preserve"> face safety risks and exclusion, including from employment / healthcare</w:t>
      </w:r>
      <w:r w:rsidR="00E06D2A">
        <w:rPr>
          <w:rFonts w:ascii="Arial" w:hAnsi="Arial" w:cs="Arial"/>
          <w:bCs/>
          <w:color w:val="000000"/>
        </w:rPr>
        <w:t>, e.g</w:t>
      </w:r>
      <w:r w:rsidR="003E5B61">
        <w:rPr>
          <w:rFonts w:ascii="Arial" w:hAnsi="Arial" w:cs="Arial"/>
          <w:bCs/>
          <w:color w:val="000000"/>
        </w:rPr>
        <w:t>.</w:t>
      </w:r>
    </w:p>
    <w:p w14:paraId="4014CC30" w14:textId="588C58CB" w:rsidR="003E5B61" w:rsidRPr="003E5B61" w:rsidRDefault="00180602" w:rsidP="000718FE">
      <w:pPr>
        <w:pStyle w:val="IntenseQuote"/>
        <w:spacing w:after="80"/>
        <w:contextualSpacing w:val="0"/>
      </w:pPr>
      <w:r w:rsidRPr="00805113">
        <w:rPr>
          <w:b/>
        </w:rPr>
        <w:t>Steph,</w:t>
      </w:r>
      <w:r>
        <w:t xml:space="preserve"> a wheelchair user</w:t>
      </w:r>
      <w:r w:rsidR="0066121D">
        <w:t xml:space="preserve">, explained in a blog how being able to make cycling-speed trips </w:t>
      </w:r>
      <w:r w:rsidR="00C81317">
        <w:t>will now enable</w:t>
      </w:r>
      <w:r w:rsidR="0066121D">
        <w:t xml:space="preserve"> her to attend healthcare appointments without missing too many working hours.</w:t>
      </w:r>
      <w:r w:rsidR="0066121D">
        <w:rPr>
          <w:rStyle w:val="EndnoteReference"/>
          <w:rFonts w:ascii="Arial" w:hAnsi="Arial" w:cs="Arial"/>
          <w:bCs/>
          <w:color w:val="000000"/>
        </w:rPr>
        <w:endnoteReference w:id="16"/>
      </w:r>
    </w:p>
    <w:p w14:paraId="041E8C4A" w14:textId="1CC2B718" w:rsidR="00781583" w:rsidRDefault="00C120D4" w:rsidP="000718FE">
      <w:pPr>
        <w:pStyle w:val="ListParagraph"/>
        <w:numPr>
          <w:ilvl w:val="0"/>
          <w:numId w:val="25"/>
        </w:numPr>
        <w:spacing w:after="80"/>
        <w:ind w:left="284"/>
        <w:rPr>
          <w:rFonts w:ascii="Arial" w:hAnsi="Arial" w:cs="Arial"/>
          <w:bCs/>
          <w:color w:val="000000"/>
        </w:rPr>
      </w:pPr>
      <w:r w:rsidRPr="00C120D4">
        <w:rPr>
          <w:rFonts w:ascii="Arial" w:hAnsi="Arial" w:cs="Arial"/>
          <w:b/>
          <w:bCs/>
          <w:color w:val="000000"/>
        </w:rPr>
        <w:t>Children’s mobility:</w:t>
      </w:r>
      <w:r>
        <w:rPr>
          <w:rFonts w:ascii="Arial" w:hAnsi="Arial" w:cs="Arial"/>
          <w:bCs/>
          <w:color w:val="000000"/>
        </w:rPr>
        <w:t xml:space="preserve"> </w:t>
      </w:r>
      <w:r w:rsidR="00805113">
        <w:rPr>
          <w:rFonts w:ascii="Arial" w:hAnsi="Arial" w:cs="Arial"/>
          <w:bCs/>
          <w:color w:val="000000"/>
        </w:rPr>
        <w:t>Disabled children who need power or power-assist to move on unmade surfaces and/or at above walking speed are excluded from normal childhood activities by the present age and weight restrictions on mobility aids for under-14s, e.g.</w:t>
      </w:r>
    </w:p>
    <w:p w14:paraId="645467AC" w14:textId="48B09AC4" w:rsidR="003E5B61" w:rsidRPr="003E5B61" w:rsidRDefault="0073171D" w:rsidP="000718FE">
      <w:pPr>
        <w:pStyle w:val="IntenseQuote"/>
        <w:spacing w:after="80"/>
        <w:contextualSpacing w:val="0"/>
      </w:pPr>
      <w:r w:rsidRPr="00805113">
        <w:rPr>
          <w:b/>
        </w:rPr>
        <w:t>B</w:t>
      </w:r>
      <w:r w:rsidR="00180602">
        <w:t xml:space="preserve"> </w:t>
      </w:r>
      <w:r>
        <w:t>is prevented by current regulations from cycling to secondary school with friends. Read their case study in our explainer sheet on Disabled children’s mobility.</w:t>
      </w:r>
      <w:r>
        <w:rPr>
          <w:rStyle w:val="EndnoteReference"/>
          <w:rFonts w:ascii="Arial" w:hAnsi="Arial" w:cs="Arial"/>
          <w:bCs/>
          <w:color w:val="000000"/>
        </w:rPr>
        <w:endnoteReference w:id="17"/>
      </w:r>
    </w:p>
    <w:p w14:paraId="6389FD90" w14:textId="63CD632E" w:rsidR="003E5B61" w:rsidRPr="003E5B61" w:rsidRDefault="00157329" w:rsidP="000718FE">
      <w:pPr>
        <w:pStyle w:val="ListParagraph"/>
        <w:numPr>
          <w:ilvl w:val="0"/>
          <w:numId w:val="25"/>
        </w:numPr>
        <w:spacing w:after="80"/>
        <w:ind w:left="284"/>
        <w:rPr>
          <w:lang w:val="en-US"/>
        </w:rPr>
      </w:pPr>
      <w:r>
        <w:rPr>
          <w:rFonts w:ascii="Arial" w:hAnsi="Arial" w:cs="Arial"/>
          <w:b/>
          <w:bCs/>
          <w:color w:val="000000"/>
        </w:rPr>
        <w:t>“Invalid carriages” regulations wider impacts</w:t>
      </w:r>
      <w:r w:rsidR="00201B65" w:rsidRPr="00201B65">
        <w:rPr>
          <w:rFonts w:ascii="Arial" w:hAnsi="Arial" w:cs="Arial"/>
          <w:b/>
          <w:bCs/>
          <w:color w:val="000000"/>
        </w:rPr>
        <w:t xml:space="preserve">: </w:t>
      </w:r>
      <w:r w:rsidR="0073171D">
        <w:rPr>
          <w:rFonts w:ascii="Arial" w:hAnsi="Arial" w:cs="Arial"/>
          <w:bCs/>
          <w:color w:val="000000"/>
        </w:rPr>
        <w:t xml:space="preserve">Disabled people </w:t>
      </w:r>
      <w:r>
        <w:rPr>
          <w:rFonts w:ascii="Arial" w:hAnsi="Arial" w:cs="Arial"/>
          <w:bCs/>
          <w:color w:val="000000"/>
        </w:rPr>
        <w:t xml:space="preserve">using less widely recognised as mobility aid types </w:t>
      </w:r>
      <w:r w:rsidR="0073171D">
        <w:rPr>
          <w:rFonts w:ascii="Arial" w:hAnsi="Arial" w:cs="Arial"/>
          <w:bCs/>
          <w:color w:val="000000"/>
        </w:rPr>
        <w:t>are experiencing</w:t>
      </w:r>
      <w:r>
        <w:rPr>
          <w:rFonts w:ascii="Arial" w:hAnsi="Arial" w:cs="Arial"/>
          <w:bCs/>
          <w:color w:val="000000"/>
        </w:rPr>
        <w:t xml:space="preserve"> risks &amp;</w:t>
      </w:r>
      <w:r w:rsidR="0073171D">
        <w:rPr>
          <w:rFonts w:ascii="Arial" w:hAnsi="Arial" w:cs="Arial"/>
          <w:bCs/>
          <w:color w:val="000000"/>
        </w:rPr>
        <w:t xml:space="preserve"> access refusals affecting ability to use essential</w:t>
      </w:r>
      <w:r w:rsidR="00E258E5">
        <w:rPr>
          <w:rFonts w:ascii="Arial" w:hAnsi="Arial" w:cs="Arial"/>
          <w:bCs/>
          <w:color w:val="000000"/>
        </w:rPr>
        <w:t xml:space="preserve"> services, public transport, </w:t>
      </w:r>
      <w:r w:rsidR="0073171D">
        <w:rPr>
          <w:rFonts w:ascii="Arial" w:hAnsi="Arial" w:cs="Arial"/>
          <w:bCs/>
          <w:color w:val="000000"/>
        </w:rPr>
        <w:t xml:space="preserve">and </w:t>
      </w:r>
      <w:r w:rsidR="008856C8">
        <w:rPr>
          <w:rFonts w:ascii="Arial" w:hAnsi="Arial" w:cs="Arial"/>
          <w:bCs/>
          <w:color w:val="000000"/>
        </w:rPr>
        <w:t xml:space="preserve">to </w:t>
      </w:r>
      <w:r w:rsidR="0073171D">
        <w:rPr>
          <w:rFonts w:ascii="Arial" w:hAnsi="Arial" w:cs="Arial"/>
          <w:bCs/>
          <w:color w:val="000000"/>
        </w:rPr>
        <w:t xml:space="preserve">access education and employment, </w:t>
      </w:r>
      <w:r>
        <w:rPr>
          <w:rFonts w:ascii="Arial" w:hAnsi="Arial" w:cs="Arial"/>
          <w:bCs/>
          <w:color w:val="000000"/>
        </w:rPr>
        <w:t>e.g.</w:t>
      </w:r>
    </w:p>
    <w:p w14:paraId="7CCA6083" w14:textId="5E36145A" w:rsidR="00957507" w:rsidRPr="003E5B61" w:rsidRDefault="000718FE" w:rsidP="000718FE">
      <w:pPr>
        <w:pStyle w:val="IntenseQuote"/>
        <w:spacing w:after="80"/>
        <w:contextualSpacing w:val="0"/>
        <w:rPr>
          <w:lang w:val="en-US"/>
        </w:rPr>
      </w:pPr>
      <w:r>
        <w:rPr>
          <w:b/>
          <w:lang w:val="en-US"/>
        </w:rPr>
        <w:t>C</w:t>
      </w:r>
      <w:r w:rsidR="00FA133E" w:rsidRPr="00805113">
        <w:rPr>
          <w:b/>
          <w:lang w:val="en-US"/>
        </w:rPr>
        <w:t>,</w:t>
      </w:r>
      <w:r w:rsidR="00FA133E">
        <w:rPr>
          <w:lang w:val="en-US"/>
        </w:rPr>
        <w:t xml:space="preserve"> a wheelchair </w:t>
      </w:r>
      <w:r w:rsidR="00906589">
        <w:rPr>
          <w:lang w:val="en-US"/>
        </w:rPr>
        <w:t xml:space="preserve">and power attachment </w:t>
      </w:r>
      <w:r w:rsidR="00FA133E">
        <w:rPr>
          <w:lang w:val="en-US"/>
        </w:rPr>
        <w:t>user</w:t>
      </w:r>
      <w:r w:rsidR="00906589">
        <w:rPr>
          <w:lang w:val="en-US"/>
        </w:rPr>
        <w:t xml:space="preserve">, was banned from storing or charging their device in their accommodation, leading to physical </w:t>
      </w:r>
      <w:r w:rsidR="0073171D">
        <w:rPr>
          <w:lang w:val="en-US"/>
        </w:rPr>
        <w:t xml:space="preserve">injuries, isolation, and </w:t>
      </w:r>
      <w:r w:rsidR="006163CF">
        <w:rPr>
          <w:lang w:val="en-US"/>
        </w:rPr>
        <w:t xml:space="preserve">permanent </w:t>
      </w:r>
      <w:r w:rsidR="0073171D">
        <w:rPr>
          <w:lang w:val="en-US"/>
        </w:rPr>
        <w:t xml:space="preserve">damage to the power attachment </w:t>
      </w:r>
      <w:r w:rsidR="006163CF">
        <w:rPr>
          <w:lang w:val="en-US"/>
        </w:rPr>
        <w:t xml:space="preserve">battery </w:t>
      </w:r>
      <w:r w:rsidR="0073171D">
        <w:rPr>
          <w:lang w:val="en-US"/>
        </w:rPr>
        <w:t xml:space="preserve">through charging in cold conditions against manufacturer </w:t>
      </w:r>
      <w:r w:rsidR="006163CF">
        <w:rPr>
          <w:lang w:val="en-US"/>
        </w:rPr>
        <w:t>instructions</w:t>
      </w:r>
      <w:r w:rsidR="0073171D">
        <w:rPr>
          <w:lang w:val="en-US"/>
        </w:rPr>
        <w:t xml:space="preserve">. After multiple months </w:t>
      </w:r>
      <w:r w:rsidR="00041427">
        <w:rPr>
          <w:lang w:val="en-US"/>
        </w:rPr>
        <w:t xml:space="preserve">of effort from </w:t>
      </w:r>
      <w:r>
        <w:rPr>
          <w:lang w:val="en-US"/>
        </w:rPr>
        <w:t>C</w:t>
      </w:r>
      <w:r w:rsidR="00041427">
        <w:rPr>
          <w:lang w:val="en-US"/>
        </w:rPr>
        <w:t xml:space="preserve"> </w:t>
      </w:r>
      <w:r w:rsidR="0073171D">
        <w:rPr>
          <w:lang w:val="en-US"/>
        </w:rPr>
        <w:t xml:space="preserve">and following </w:t>
      </w:r>
      <w:r>
        <w:rPr>
          <w:lang w:val="en-US"/>
        </w:rPr>
        <w:t>C</w:t>
      </w:r>
      <w:r w:rsidR="0073171D">
        <w:rPr>
          <w:lang w:val="en-US"/>
        </w:rPr>
        <w:t xml:space="preserve"> taking legal advice, </w:t>
      </w:r>
      <w:r>
        <w:rPr>
          <w:lang w:val="en-US"/>
        </w:rPr>
        <w:t>C</w:t>
      </w:r>
      <w:r w:rsidR="0073171D">
        <w:rPr>
          <w:lang w:val="en-US"/>
        </w:rPr>
        <w:t xml:space="preserve">’s accommodation provider </w:t>
      </w:r>
      <w:r w:rsidR="00157329">
        <w:rPr>
          <w:lang w:val="en-US"/>
        </w:rPr>
        <w:t xml:space="preserve">took </w:t>
      </w:r>
      <w:r w:rsidR="0073171D">
        <w:rPr>
          <w:lang w:val="en-US"/>
        </w:rPr>
        <w:t>fire expert advice</w:t>
      </w:r>
      <w:r w:rsidR="00157329">
        <w:rPr>
          <w:lang w:val="en-US"/>
        </w:rPr>
        <w:t>, which determined i</w:t>
      </w:r>
      <w:r w:rsidR="0073171D">
        <w:rPr>
          <w:lang w:val="en-US"/>
        </w:rPr>
        <w:t xml:space="preserve">t </w:t>
      </w:r>
      <w:r w:rsidR="00041427">
        <w:rPr>
          <w:lang w:val="en-US"/>
        </w:rPr>
        <w:t>is and always has been</w:t>
      </w:r>
      <w:r w:rsidR="0073171D">
        <w:rPr>
          <w:lang w:val="en-US"/>
        </w:rPr>
        <w:t xml:space="preserve"> safe for </w:t>
      </w:r>
      <w:r>
        <w:rPr>
          <w:lang w:val="en-US"/>
        </w:rPr>
        <w:t>C</w:t>
      </w:r>
      <w:r w:rsidR="0073171D">
        <w:rPr>
          <w:lang w:val="en-US"/>
        </w:rPr>
        <w:t xml:space="preserve"> to charge their</w:t>
      </w:r>
      <w:r w:rsidR="008856C8">
        <w:rPr>
          <w:lang w:val="en-US"/>
        </w:rPr>
        <w:t xml:space="preserve"> mobility aid </w:t>
      </w:r>
      <w:r w:rsidR="0073171D">
        <w:rPr>
          <w:lang w:val="en-US"/>
        </w:rPr>
        <w:t>in their accommodation.</w:t>
      </w:r>
      <w:bookmarkStart w:id="0" w:name="_GoBack"/>
      <w:bookmarkEnd w:id="0"/>
      <w:r w:rsidR="00957507" w:rsidRPr="003E5B61">
        <w:rPr>
          <w:lang w:val="en-US"/>
        </w:rPr>
        <w:br w:type="page"/>
      </w:r>
    </w:p>
    <w:p w14:paraId="4300FA4A" w14:textId="2A5F0576" w:rsidR="002D0489" w:rsidRPr="001A750B" w:rsidRDefault="001A750B" w:rsidP="001A750B">
      <w:pPr>
        <w:pStyle w:val="Heading2"/>
        <w:rPr>
          <w:lang w:val="en-US"/>
        </w:rPr>
      </w:pPr>
      <w:r>
        <w:rPr>
          <w:lang w:val="en-US"/>
        </w:rPr>
        <w:lastRenderedPageBreak/>
        <w:t>References</w:t>
      </w:r>
    </w:p>
    <w:sectPr w:rsidR="002D0489" w:rsidRPr="001A750B" w:rsidSect="006A42B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/>
      <w:pgMar w:top="1021" w:right="964" w:bottom="680" w:left="96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BCAA" w14:textId="77777777" w:rsidR="00C57936" w:rsidRDefault="00C57936" w:rsidP="00D138FA">
      <w:pPr>
        <w:spacing w:after="0" w:line="240" w:lineRule="auto"/>
      </w:pPr>
      <w:r>
        <w:separator/>
      </w:r>
    </w:p>
  </w:endnote>
  <w:endnote w:type="continuationSeparator" w:id="0">
    <w:p w14:paraId="2F528DD3" w14:textId="77777777" w:rsidR="00C57936" w:rsidRDefault="00C57936" w:rsidP="00D138FA">
      <w:pPr>
        <w:spacing w:after="0" w:line="240" w:lineRule="auto"/>
      </w:pPr>
      <w:r>
        <w:continuationSeparator/>
      </w:r>
    </w:p>
  </w:endnote>
  <w:endnote w:id="1">
    <w:p w14:paraId="083B9C90" w14:textId="77777777" w:rsidR="004C27C8" w:rsidRPr="00261A47" w:rsidRDefault="004C27C8" w:rsidP="00F763E9">
      <w:pPr>
        <w:pStyle w:val="EndnoteText"/>
        <w:spacing w:afterLines="80" w:after="192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Wheels for Wellbeing </w:t>
      </w:r>
      <w:r w:rsidRPr="00261A47">
        <w:rPr>
          <w:sz w:val="24"/>
          <w:szCs w:val="24"/>
          <w:lang w:val="en-US"/>
        </w:rPr>
        <w:t xml:space="preserve">Every Journey Everyone main resources page: </w:t>
      </w:r>
      <w:hyperlink r:id="rId1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https://wheelsforwellbeing.org.uk/our-campaigns/campaigning/mobility-aid-legal-changes-every-journey-everyone/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2">
    <w:p w14:paraId="212F6559" w14:textId="5AF39BD4" w:rsidR="001A750B" w:rsidRPr="00261A47" w:rsidRDefault="001A750B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Quick Guide to the Equality Act 2010 </w:t>
      </w:r>
      <w:hyperlink r:id="rId2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https://wheelsforwellbeing.org.uk/wheels-for-wellbeing-quick-guide-to-the-equality-act-2010/</w:t>
        </w:r>
      </w:hyperlink>
    </w:p>
  </w:endnote>
  <w:endnote w:id="3">
    <w:p w14:paraId="6566AE55" w14:textId="1388548B" w:rsidR="001A750B" w:rsidRPr="00261A47" w:rsidRDefault="001A750B" w:rsidP="00F763E9">
      <w:pPr>
        <w:pStyle w:val="EndnoteText"/>
        <w:spacing w:afterLines="80" w:after="192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Mental Capacity Act 2005 </w:t>
      </w:r>
      <w:hyperlink r:id="rId3" w:history="1">
        <w:r w:rsidRPr="00261A47">
          <w:rPr>
            <w:rStyle w:val="Hyperlink"/>
            <w:sz w:val="24"/>
            <w:szCs w:val="24"/>
            <w:lang w:val="en-US"/>
          </w:rPr>
          <w:t>https://www.legislation.gov.uk/ukpga/2005/9/contents</w:t>
        </w:r>
      </w:hyperlink>
    </w:p>
  </w:endnote>
  <w:endnote w:id="4">
    <w:p w14:paraId="3041F370" w14:textId="34BE5621" w:rsidR="00B750E6" w:rsidRPr="00261A47" w:rsidRDefault="00B750E6" w:rsidP="00F763E9">
      <w:pPr>
        <w:pStyle w:val="EndnoteText"/>
        <w:spacing w:afterLines="80" w:after="192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“Disabled people should be allowed to make similar trips at similar speeds to non-disabled people” </w:t>
      </w:r>
      <w:hyperlink r:id="rId4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https://wheelsforwellbeing.org.uk/similar-trip-speed/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5">
    <w:p w14:paraId="3F1181C3" w14:textId="41475BCA" w:rsidR="00DF7F70" w:rsidRPr="00261A47" w:rsidRDefault="00DF7F70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“Mobility aid users should be allowed to use cycle tracks, cycle lanes and bus lanes” </w:t>
      </w:r>
      <w:hyperlink r:id="rId5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https://wheelsforwellbeing.org.uk/mobility-aid-users-cycle-tracks/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6">
    <w:p w14:paraId="0CFC1ABC" w14:textId="5023580A" w:rsidR="00B750E6" w:rsidRPr="00261A47" w:rsidRDefault="00B750E6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“People who use mobility scooters should be allowed to carry friends and family” </w:t>
      </w:r>
      <w:hyperlink r:id="rId6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https://wheelsforwellbeing.org.uk/we-think-people-who-use-mobility-scooters-should-be-allowed-to-carry-friends-and-family/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7">
    <w:p w14:paraId="07CE89E4" w14:textId="37146964" w:rsidR="00DF7F70" w:rsidRPr="00261A47" w:rsidRDefault="00DF7F70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Wheels for Wellbeing resource – “Parents who use wheelchairs should have the right to use prams and pushchairs” </w:t>
      </w:r>
      <w:hyperlink r:id="rId7" w:history="1">
        <w:r w:rsidRPr="00261A47">
          <w:rPr>
            <w:rStyle w:val="Hyperlink"/>
            <w:sz w:val="24"/>
            <w:szCs w:val="24"/>
          </w:rPr>
          <w:t>https://wheelsforwellbeing.org.uk/right-to-use-prams-pushchairs/</w:t>
        </w:r>
      </w:hyperlink>
      <w:r w:rsidRPr="00261A47">
        <w:rPr>
          <w:sz w:val="24"/>
          <w:szCs w:val="24"/>
        </w:rPr>
        <w:t xml:space="preserve"> </w:t>
      </w:r>
    </w:p>
  </w:endnote>
  <w:endnote w:id="8">
    <w:p w14:paraId="19EF0568" w14:textId="77777777" w:rsidR="004C27C8" w:rsidRPr="00261A47" w:rsidRDefault="004C27C8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“Disabled children should be allowed powered aids that let them run, cycle and explore with their friends” </w:t>
      </w:r>
      <w:hyperlink r:id="rId8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https://wheelsforwellbeing.org.uk/disabled-children-powered-aids/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9">
    <w:p w14:paraId="43AACDB5" w14:textId="3184E9A0" w:rsidR="00DF7F70" w:rsidRPr="00261A47" w:rsidRDefault="00DF7F70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“We think rules for mobility aids should be clearly written and free to read” </w:t>
      </w:r>
      <w:hyperlink r:id="rId9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https://wheelsforwellbeing.org.uk/rules-mobility-aids-clearly-written-free-to-read/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0">
    <w:p w14:paraId="551991A0" w14:textId="1904954A" w:rsidR="004C27C8" w:rsidRPr="00261A47" w:rsidRDefault="004C27C8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“different areas of regulation which divide mobility devices into similar-sounding classes” </w:t>
      </w:r>
      <w:hyperlink r:id="rId10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https://wheelsforwellbeing.org.uk/different-regulatory-areas-mobility-devices/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1">
    <w:p w14:paraId="05E8A991" w14:textId="6AE2A30E" w:rsidR="00055F1E" w:rsidRPr="00261A47" w:rsidRDefault="00055F1E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Local Government Association 2019 “The Gunning Principles” </w:t>
      </w:r>
      <w:hyperlink r:id="rId11" w:history="1">
        <w:r w:rsidRPr="00261A47">
          <w:rPr>
            <w:rStyle w:val="Hyperlink"/>
            <w:sz w:val="24"/>
            <w:szCs w:val="24"/>
            <w:lang w:val="en-US"/>
          </w:rPr>
          <w:t>https://www.local.gov.uk/sites/default/files/documents/The%20Gunning%20Principles.pdf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2">
    <w:p w14:paraId="00080CDF" w14:textId="0AB59F6C" w:rsidR="001A750B" w:rsidRPr="00261A47" w:rsidRDefault="001A750B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Cabinet Office Consultation principles: guidance 2012 last updated 2018 </w:t>
      </w:r>
      <w:hyperlink r:id="rId12" w:history="1">
        <w:r w:rsidRPr="00261A47">
          <w:rPr>
            <w:rStyle w:val="Hyperlink"/>
            <w:sz w:val="24"/>
            <w:szCs w:val="24"/>
            <w:lang w:val="en-US"/>
          </w:rPr>
          <w:t>https://www.gov.uk/government/publications/consultation-principles-guidance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3">
    <w:p w14:paraId="275E7C5F" w14:textId="77777777" w:rsidR="00A47267" w:rsidRPr="00261A47" w:rsidRDefault="00A47267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>Civil Service questionnaire design guidance principles for designing respondent-</w:t>
      </w:r>
      <w:proofErr w:type="spellStart"/>
      <w:r w:rsidRPr="00261A47">
        <w:rPr>
          <w:sz w:val="24"/>
          <w:szCs w:val="24"/>
          <w:lang w:val="en-US"/>
        </w:rPr>
        <w:t>centred</w:t>
      </w:r>
      <w:proofErr w:type="spellEnd"/>
      <w:r w:rsidRPr="00261A47">
        <w:rPr>
          <w:sz w:val="24"/>
          <w:szCs w:val="24"/>
          <w:lang w:val="en-US"/>
        </w:rPr>
        <w:t xml:space="preserve"> content </w:t>
      </w:r>
      <w:hyperlink r:id="rId13" w:anchor="principles-for-designing-respondent-centred-content" w:history="1">
        <w:r w:rsidRPr="00261A47">
          <w:rPr>
            <w:rStyle w:val="Hyperlink"/>
            <w:sz w:val="24"/>
            <w:szCs w:val="24"/>
            <w:lang w:val="en-US"/>
          </w:rPr>
          <w:t>https://analysisfunction.civilservice.gov.uk/policy-store/questionnaire-design-guidance/#principles-for-designing-respondent-centred-content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4">
    <w:p w14:paraId="75636E15" w14:textId="2E276BAA" w:rsidR="00DF7F70" w:rsidRPr="00261A47" w:rsidRDefault="00DF7F70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spreadsheet “my mobility device information and sources” outlines current regulations affecting use permissions for all pedestrian and cycling-equivalent devices: </w:t>
      </w:r>
      <w:hyperlink r:id="rId14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https://wheelsforwellbeing.org.uk/wp-content/uploads/2026/02/My-Mobility-device-information-and-sources-v06.xlsx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5">
    <w:p w14:paraId="04B31910" w14:textId="5B9B2ABE" w:rsidR="00FA133E" w:rsidRPr="00261A47" w:rsidRDefault="00FA133E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case study: David and Gill’s tandem mobility scooter: </w:t>
      </w:r>
      <w:hyperlink r:id="rId15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https://wheelsforwellbeing.org.uk/my-mobility-david-and-gills-tandem-mobility-scooter/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6">
    <w:p w14:paraId="238A039C" w14:textId="7637AE0B" w:rsidR="0066121D" w:rsidRPr="00261A47" w:rsidRDefault="0066121D" w:rsidP="00F763E9">
      <w:pPr>
        <w:pStyle w:val="EndnoteText"/>
        <w:spacing w:after="80"/>
        <w:rPr>
          <w:sz w:val="24"/>
          <w:szCs w:val="24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case study: Steph’s ICE Trike and the Cycle to Work Scheme: </w:t>
      </w:r>
      <w:hyperlink r:id="rId16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https://wheelsforwellbeing.org.uk/case-study-stephs-ice-trike-and-the-cycle-to-work-scheme/</w:t>
        </w:r>
      </w:hyperlink>
      <w:r w:rsidRPr="00261A47">
        <w:rPr>
          <w:sz w:val="24"/>
          <w:szCs w:val="24"/>
          <w:lang w:val="en-US"/>
        </w:rPr>
        <w:t xml:space="preserve"> </w:t>
      </w:r>
    </w:p>
  </w:endnote>
  <w:endnote w:id="17">
    <w:p w14:paraId="3A2E3B01" w14:textId="3DB4620D" w:rsidR="0073171D" w:rsidRPr="00F763E9" w:rsidRDefault="0073171D" w:rsidP="00F763E9">
      <w:pPr>
        <w:pStyle w:val="EndnoteText"/>
        <w:spacing w:after="80"/>
        <w:rPr>
          <w:sz w:val="22"/>
          <w:szCs w:val="22"/>
          <w:lang w:val="en-US"/>
        </w:rPr>
      </w:pPr>
      <w:r w:rsidRPr="00261A47">
        <w:rPr>
          <w:rStyle w:val="EndnoteReference"/>
          <w:sz w:val="24"/>
          <w:szCs w:val="24"/>
        </w:rPr>
        <w:endnoteRef/>
      </w:r>
      <w:r w:rsidRPr="00261A47">
        <w:rPr>
          <w:sz w:val="24"/>
          <w:szCs w:val="24"/>
        </w:rPr>
        <w:t xml:space="preserve"> </w:t>
      </w:r>
      <w:r w:rsidRPr="00261A47">
        <w:rPr>
          <w:sz w:val="24"/>
          <w:szCs w:val="24"/>
          <w:lang w:val="en-US"/>
        </w:rPr>
        <w:t xml:space="preserve">Wheels for Wellbeing resource – “Disabled children should be allowed powered aids that let them run, cycle and explore with their friends” </w:t>
      </w:r>
      <w:hyperlink r:id="rId17" w:history="1">
        <w:r w:rsidRPr="00261A47">
          <w:rPr>
            <w:rStyle w:val="Hyperlink"/>
            <w:sz w:val="24"/>
            <w:szCs w:val="24"/>
            <w:lang w:val="en-US"/>
          </w:rPr>
          <w:t>https://wheelsforwellbeing.org.uk/disabled-children-powered-aids/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B6C2" w14:textId="09516A2B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r>
      <w:rPr>
        <w:color w:val="FFFFFF" w:themeColor="background1"/>
        <w:lang w:val="en-US"/>
      </w:rPr>
      <w:tab/>
      <w:t xml:space="preserve">  ref </w:t>
    </w:r>
    <w:r w:rsidR="00D13682">
      <w:rPr>
        <w:color w:val="FFFFFF" w:themeColor="background1"/>
        <w:lang w:val="en-US"/>
      </w:rPr>
      <w:t>mdb03</w:t>
    </w:r>
    <w:r w:rsidR="00054403">
      <w:rPr>
        <w:color w:val="FFFFFF" w:themeColor="background1"/>
        <w:lang w:val="en-US"/>
      </w:rPr>
      <w:t>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877E" w14:textId="77777777" w:rsidR="00C57936" w:rsidRDefault="00C57936" w:rsidP="00D138FA">
      <w:pPr>
        <w:spacing w:after="0" w:line="240" w:lineRule="auto"/>
      </w:pPr>
      <w:r>
        <w:separator/>
      </w:r>
    </w:p>
  </w:footnote>
  <w:footnote w:type="continuationSeparator" w:id="0">
    <w:p w14:paraId="62FFCE94" w14:textId="77777777" w:rsidR="00C57936" w:rsidRDefault="00C57936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D47"/>
    <w:multiLevelType w:val="hybridMultilevel"/>
    <w:tmpl w:val="CBF05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082"/>
    <w:multiLevelType w:val="hybridMultilevel"/>
    <w:tmpl w:val="AB103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336E"/>
    <w:multiLevelType w:val="hybridMultilevel"/>
    <w:tmpl w:val="A528A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866FD"/>
    <w:multiLevelType w:val="hybridMultilevel"/>
    <w:tmpl w:val="6A1E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B3156"/>
    <w:multiLevelType w:val="hybridMultilevel"/>
    <w:tmpl w:val="C21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049"/>
    <w:multiLevelType w:val="hybridMultilevel"/>
    <w:tmpl w:val="EF448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7B93"/>
    <w:multiLevelType w:val="hybridMultilevel"/>
    <w:tmpl w:val="FDA2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75F7E"/>
    <w:multiLevelType w:val="hybridMultilevel"/>
    <w:tmpl w:val="63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0016EF"/>
    <w:multiLevelType w:val="multilevel"/>
    <w:tmpl w:val="804684F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9047A42"/>
    <w:multiLevelType w:val="hybridMultilevel"/>
    <w:tmpl w:val="6A1E7C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A568A"/>
    <w:multiLevelType w:val="hybridMultilevel"/>
    <w:tmpl w:val="6A1E7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7"/>
  </w:num>
  <w:num w:numId="4">
    <w:abstractNumId w:val="23"/>
  </w:num>
  <w:num w:numId="5">
    <w:abstractNumId w:val="13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22"/>
  </w:num>
  <w:num w:numId="14">
    <w:abstractNumId w:val="5"/>
  </w:num>
  <w:num w:numId="15">
    <w:abstractNumId w:val="11"/>
  </w:num>
  <w:num w:numId="16">
    <w:abstractNumId w:val="25"/>
  </w:num>
  <w:num w:numId="17">
    <w:abstractNumId w:val="20"/>
  </w:num>
  <w:num w:numId="18">
    <w:abstractNumId w:val="21"/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4"/>
  </w:num>
  <w:num w:numId="24">
    <w:abstractNumId w:val="10"/>
  </w:num>
  <w:num w:numId="25">
    <w:abstractNumId w:val="26"/>
  </w:num>
  <w:num w:numId="26">
    <w:abstractNumId w:val="0"/>
  </w:num>
  <w:num w:numId="27">
    <w:abstractNumId w:val="24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30721">
      <o:colormenu v:ext="edit" fillcolor="none [3214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2B6D"/>
    <w:rsid w:val="00017F3F"/>
    <w:rsid w:val="00024501"/>
    <w:rsid w:val="000347B4"/>
    <w:rsid w:val="00041427"/>
    <w:rsid w:val="00045636"/>
    <w:rsid w:val="000510BD"/>
    <w:rsid w:val="000515F0"/>
    <w:rsid w:val="0005213D"/>
    <w:rsid w:val="0005367B"/>
    <w:rsid w:val="00053ED5"/>
    <w:rsid w:val="00054403"/>
    <w:rsid w:val="00055F1E"/>
    <w:rsid w:val="0006066D"/>
    <w:rsid w:val="000645A8"/>
    <w:rsid w:val="00066FF7"/>
    <w:rsid w:val="000676CE"/>
    <w:rsid w:val="000718FE"/>
    <w:rsid w:val="00074101"/>
    <w:rsid w:val="000752C7"/>
    <w:rsid w:val="00095111"/>
    <w:rsid w:val="000A065C"/>
    <w:rsid w:val="000A0892"/>
    <w:rsid w:val="000A1D78"/>
    <w:rsid w:val="000A5F95"/>
    <w:rsid w:val="000B13C2"/>
    <w:rsid w:val="000B5E7B"/>
    <w:rsid w:val="000C76A3"/>
    <w:rsid w:val="000D3E25"/>
    <w:rsid w:val="000D45C5"/>
    <w:rsid w:val="000E31DC"/>
    <w:rsid w:val="000E4DE8"/>
    <w:rsid w:val="000E4F5A"/>
    <w:rsid w:val="000F09B9"/>
    <w:rsid w:val="000F2352"/>
    <w:rsid w:val="000F4000"/>
    <w:rsid w:val="000F4875"/>
    <w:rsid w:val="001132A7"/>
    <w:rsid w:val="00115209"/>
    <w:rsid w:val="00123271"/>
    <w:rsid w:val="001267DF"/>
    <w:rsid w:val="00130C7E"/>
    <w:rsid w:val="001315B3"/>
    <w:rsid w:val="001317BA"/>
    <w:rsid w:val="001350A0"/>
    <w:rsid w:val="00146690"/>
    <w:rsid w:val="001466F6"/>
    <w:rsid w:val="00147C6C"/>
    <w:rsid w:val="00150D89"/>
    <w:rsid w:val="00152555"/>
    <w:rsid w:val="0015298B"/>
    <w:rsid w:val="0015321E"/>
    <w:rsid w:val="00157329"/>
    <w:rsid w:val="00157FBF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80602"/>
    <w:rsid w:val="0018658F"/>
    <w:rsid w:val="00194AB0"/>
    <w:rsid w:val="00196671"/>
    <w:rsid w:val="001A17F3"/>
    <w:rsid w:val="001A3E5F"/>
    <w:rsid w:val="001A750B"/>
    <w:rsid w:val="001A758C"/>
    <w:rsid w:val="001B117D"/>
    <w:rsid w:val="001B3DC4"/>
    <w:rsid w:val="001C010C"/>
    <w:rsid w:val="001C0405"/>
    <w:rsid w:val="001D1C55"/>
    <w:rsid w:val="001D367B"/>
    <w:rsid w:val="001E50C6"/>
    <w:rsid w:val="001F1457"/>
    <w:rsid w:val="001F4540"/>
    <w:rsid w:val="001F4C7C"/>
    <w:rsid w:val="00201B65"/>
    <w:rsid w:val="00202A0A"/>
    <w:rsid w:val="00204433"/>
    <w:rsid w:val="00205293"/>
    <w:rsid w:val="00213B69"/>
    <w:rsid w:val="00226B29"/>
    <w:rsid w:val="00232129"/>
    <w:rsid w:val="00232A81"/>
    <w:rsid w:val="00236848"/>
    <w:rsid w:val="00237E71"/>
    <w:rsid w:val="00237EA6"/>
    <w:rsid w:val="00242148"/>
    <w:rsid w:val="002447F6"/>
    <w:rsid w:val="00257974"/>
    <w:rsid w:val="00261A47"/>
    <w:rsid w:val="00276329"/>
    <w:rsid w:val="00277A2A"/>
    <w:rsid w:val="0028317C"/>
    <w:rsid w:val="00284AB9"/>
    <w:rsid w:val="0028548E"/>
    <w:rsid w:val="00285E9A"/>
    <w:rsid w:val="002875D3"/>
    <w:rsid w:val="0029525A"/>
    <w:rsid w:val="00295BB1"/>
    <w:rsid w:val="002A5C4E"/>
    <w:rsid w:val="002C44D2"/>
    <w:rsid w:val="002C50CB"/>
    <w:rsid w:val="002C55FB"/>
    <w:rsid w:val="002C5B1D"/>
    <w:rsid w:val="002D0489"/>
    <w:rsid w:val="002D7AF0"/>
    <w:rsid w:val="002E2096"/>
    <w:rsid w:val="002E33B7"/>
    <w:rsid w:val="002E4D6D"/>
    <w:rsid w:val="002E6A7D"/>
    <w:rsid w:val="002F14FA"/>
    <w:rsid w:val="002F65FD"/>
    <w:rsid w:val="002F7FE0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2D3E"/>
    <w:rsid w:val="003351CD"/>
    <w:rsid w:val="0033776E"/>
    <w:rsid w:val="003423DC"/>
    <w:rsid w:val="00352637"/>
    <w:rsid w:val="0035457A"/>
    <w:rsid w:val="00356251"/>
    <w:rsid w:val="00357D45"/>
    <w:rsid w:val="00361DC5"/>
    <w:rsid w:val="00374074"/>
    <w:rsid w:val="00377CE6"/>
    <w:rsid w:val="00377DF3"/>
    <w:rsid w:val="003844D4"/>
    <w:rsid w:val="003849D6"/>
    <w:rsid w:val="003850B6"/>
    <w:rsid w:val="0038614F"/>
    <w:rsid w:val="00392F88"/>
    <w:rsid w:val="00397A37"/>
    <w:rsid w:val="003A4A32"/>
    <w:rsid w:val="003A6E6D"/>
    <w:rsid w:val="003B2AC4"/>
    <w:rsid w:val="003B7577"/>
    <w:rsid w:val="003C1643"/>
    <w:rsid w:val="003C4F7F"/>
    <w:rsid w:val="003C74E0"/>
    <w:rsid w:val="003D2843"/>
    <w:rsid w:val="003D2C95"/>
    <w:rsid w:val="003D3FCC"/>
    <w:rsid w:val="003D552F"/>
    <w:rsid w:val="003E0C84"/>
    <w:rsid w:val="003E56FE"/>
    <w:rsid w:val="003E57E6"/>
    <w:rsid w:val="003E5B61"/>
    <w:rsid w:val="003F1C78"/>
    <w:rsid w:val="003F1D0B"/>
    <w:rsid w:val="003F4918"/>
    <w:rsid w:val="003F685E"/>
    <w:rsid w:val="00401553"/>
    <w:rsid w:val="00402853"/>
    <w:rsid w:val="00410522"/>
    <w:rsid w:val="00414DF1"/>
    <w:rsid w:val="00426817"/>
    <w:rsid w:val="00427654"/>
    <w:rsid w:val="00427B14"/>
    <w:rsid w:val="00430977"/>
    <w:rsid w:val="00441E11"/>
    <w:rsid w:val="00442F58"/>
    <w:rsid w:val="00445231"/>
    <w:rsid w:val="00446164"/>
    <w:rsid w:val="00446207"/>
    <w:rsid w:val="00451783"/>
    <w:rsid w:val="004523C5"/>
    <w:rsid w:val="00454531"/>
    <w:rsid w:val="004619FA"/>
    <w:rsid w:val="00461EB7"/>
    <w:rsid w:val="00462A55"/>
    <w:rsid w:val="00462A66"/>
    <w:rsid w:val="00467034"/>
    <w:rsid w:val="004729D7"/>
    <w:rsid w:val="00477465"/>
    <w:rsid w:val="00477BF8"/>
    <w:rsid w:val="00481D8C"/>
    <w:rsid w:val="00482357"/>
    <w:rsid w:val="00482680"/>
    <w:rsid w:val="0048602A"/>
    <w:rsid w:val="004A2991"/>
    <w:rsid w:val="004B521F"/>
    <w:rsid w:val="004C020C"/>
    <w:rsid w:val="004C27C8"/>
    <w:rsid w:val="004C403E"/>
    <w:rsid w:val="004C6DFB"/>
    <w:rsid w:val="004C6E40"/>
    <w:rsid w:val="004D02C5"/>
    <w:rsid w:val="004D6369"/>
    <w:rsid w:val="004E01C6"/>
    <w:rsid w:val="004E2878"/>
    <w:rsid w:val="004E2B5F"/>
    <w:rsid w:val="004F1706"/>
    <w:rsid w:val="004F1A24"/>
    <w:rsid w:val="004F77B1"/>
    <w:rsid w:val="00500BB2"/>
    <w:rsid w:val="005011CF"/>
    <w:rsid w:val="00510CD0"/>
    <w:rsid w:val="00513272"/>
    <w:rsid w:val="005154F5"/>
    <w:rsid w:val="00520A8C"/>
    <w:rsid w:val="00522046"/>
    <w:rsid w:val="005223A2"/>
    <w:rsid w:val="005269BF"/>
    <w:rsid w:val="00526C68"/>
    <w:rsid w:val="0053035B"/>
    <w:rsid w:val="0053503B"/>
    <w:rsid w:val="00535FA6"/>
    <w:rsid w:val="00537690"/>
    <w:rsid w:val="00537E81"/>
    <w:rsid w:val="00540B57"/>
    <w:rsid w:val="00542835"/>
    <w:rsid w:val="00543A6E"/>
    <w:rsid w:val="00546FBC"/>
    <w:rsid w:val="00550DBD"/>
    <w:rsid w:val="005550D6"/>
    <w:rsid w:val="00557D09"/>
    <w:rsid w:val="00565E97"/>
    <w:rsid w:val="0056755F"/>
    <w:rsid w:val="00574946"/>
    <w:rsid w:val="0057626E"/>
    <w:rsid w:val="005818CC"/>
    <w:rsid w:val="00587866"/>
    <w:rsid w:val="00596C94"/>
    <w:rsid w:val="00597A7E"/>
    <w:rsid w:val="005A2633"/>
    <w:rsid w:val="005A2AF8"/>
    <w:rsid w:val="005A33C1"/>
    <w:rsid w:val="005A6B94"/>
    <w:rsid w:val="005A7032"/>
    <w:rsid w:val="005B6EE2"/>
    <w:rsid w:val="005B78AE"/>
    <w:rsid w:val="005B7A3C"/>
    <w:rsid w:val="005C17B4"/>
    <w:rsid w:val="005C2B1B"/>
    <w:rsid w:val="005C49F1"/>
    <w:rsid w:val="005D3534"/>
    <w:rsid w:val="005D67EC"/>
    <w:rsid w:val="005E2916"/>
    <w:rsid w:val="005E3192"/>
    <w:rsid w:val="005E446F"/>
    <w:rsid w:val="005E5C8A"/>
    <w:rsid w:val="005F184D"/>
    <w:rsid w:val="005F257C"/>
    <w:rsid w:val="005F3E57"/>
    <w:rsid w:val="00601CC1"/>
    <w:rsid w:val="0060505A"/>
    <w:rsid w:val="0061039B"/>
    <w:rsid w:val="006119C7"/>
    <w:rsid w:val="0061202A"/>
    <w:rsid w:val="006124D7"/>
    <w:rsid w:val="00613106"/>
    <w:rsid w:val="00614420"/>
    <w:rsid w:val="006147D5"/>
    <w:rsid w:val="00615EA4"/>
    <w:rsid w:val="006163CF"/>
    <w:rsid w:val="006255A7"/>
    <w:rsid w:val="006264B9"/>
    <w:rsid w:val="00626D82"/>
    <w:rsid w:val="006305C9"/>
    <w:rsid w:val="006315C5"/>
    <w:rsid w:val="0063168B"/>
    <w:rsid w:val="00632128"/>
    <w:rsid w:val="00633EC9"/>
    <w:rsid w:val="0064149F"/>
    <w:rsid w:val="0064239B"/>
    <w:rsid w:val="006455B4"/>
    <w:rsid w:val="00646657"/>
    <w:rsid w:val="0065314E"/>
    <w:rsid w:val="00661167"/>
    <w:rsid w:val="0066121D"/>
    <w:rsid w:val="00662EE1"/>
    <w:rsid w:val="006639F5"/>
    <w:rsid w:val="00664FA0"/>
    <w:rsid w:val="00672753"/>
    <w:rsid w:val="0067367E"/>
    <w:rsid w:val="006818AF"/>
    <w:rsid w:val="006829C1"/>
    <w:rsid w:val="00683147"/>
    <w:rsid w:val="00686A14"/>
    <w:rsid w:val="00686AB5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2B5"/>
    <w:rsid w:val="006A4B68"/>
    <w:rsid w:val="006A641F"/>
    <w:rsid w:val="006B2226"/>
    <w:rsid w:val="006B2427"/>
    <w:rsid w:val="006B4BAE"/>
    <w:rsid w:val="006B599F"/>
    <w:rsid w:val="006B62DF"/>
    <w:rsid w:val="006B66AC"/>
    <w:rsid w:val="006B7AB0"/>
    <w:rsid w:val="006C4C8B"/>
    <w:rsid w:val="006C7CAA"/>
    <w:rsid w:val="006C7F86"/>
    <w:rsid w:val="006D0224"/>
    <w:rsid w:val="006D1011"/>
    <w:rsid w:val="006E0E41"/>
    <w:rsid w:val="006F0CEB"/>
    <w:rsid w:val="006F39FB"/>
    <w:rsid w:val="006F4AD8"/>
    <w:rsid w:val="0070135C"/>
    <w:rsid w:val="00702EF2"/>
    <w:rsid w:val="00704A76"/>
    <w:rsid w:val="00705DA4"/>
    <w:rsid w:val="00715C87"/>
    <w:rsid w:val="00716EB6"/>
    <w:rsid w:val="00721008"/>
    <w:rsid w:val="00721F16"/>
    <w:rsid w:val="0073171D"/>
    <w:rsid w:val="00731CBC"/>
    <w:rsid w:val="007336A1"/>
    <w:rsid w:val="0073487D"/>
    <w:rsid w:val="007410B3"/>
    <w:rsid w:val="007424CA"/>
    <w:rsid w:val="00745B53"/>
    <w:rsid w:val="0075169D"/>
    <w:rsid w:val="00755E48"/>
    <w:rsid w:val="00761E21"/>
    <w:rsid w:val="00764440"/>
    <w:rsid w:val="007716F7"/>
    <w:rsid w:val="007716FE"/>
    <w:rsid w:val="0077175D"/>
    <w:rsid w:val="00771956"/>
    <w:rsid w:val="007725DE"/>
    <w:rsid w:val="00774D3C"/>
    <w:rsid w:val="00775AA8"/>
    <w:rsid w:val="007767F7"/>
    <w:rsid w:val="00776B90"/>
    <w:rsid w:val="00777EB9"/>
    <w:rsid w:val="00777F65"/>
    <w:rsid w:val="00781583"/>
    <w:rsid w:val="00783293"/>
    <w:rsid w:val="00790AA4"/>
    <w:rsid w:val="007935B8"/>
    <w:rsid w:val="00796F61"/>
    <w:rsid w:val="007A1FC5"/>
    <w:rsid w:val="007A3340"/>
    <w:rsid w:val="007A6399"/>
    <w:rsid w:val="007A63DB"/>
    <w:rsid w:val="007A70E4"/>
    <w:rsid w:val="007B0CED"/>
    <w:rsid w:val="007B160E"/>
    <w:rsid w:val="007B209D"/>
    <w:rsid w:val="007B5575"/>
    <w:rsid w:val="007C210A"/>
    <w:rsid w:val="007C408B"/>
    <w:rsid w:val="007C72A2"/>
    <w:rsid w:val="007D33D7"/>
    <w:rsid w:val="007D3BFA"/>
    <w:rsid w:val="007D4F1F"/>
    <w:rsid w:val="007D5EE3"/>
    <w:rsid w:val="007D7ED2"/>
    <w:rsid w:val="007E050E"/>
    <w:rsid w:val="007E508B"/>
    <w:rsid w:val="007F0E87"/>
    <w:rsid w:val="007F1F57"/>
    <w:rsid w:val="008026B9"/>
    <w:rsid w:val="00804087"/>
    <w:rsid w:val="00805113"/>
    <w:rsid w:val="00810468"/>
    <w:rsid w:val="008135D3"/>
    <w:rsid w:val="00813675"/>
    <w:rsid w:val="00814FE5"/>
    <w:rsid w:val="00815BD9"/>
    <w:rsid w:val="0081777B"/>
    <w:rsid w:val="00824915"/>
    <w:rsid w:val="0082535A"/>
    <w:rsid w:val="00826C89"/>
    <w:rsid w:val="00830FB6"/>
    <w:rsid w:val="00832054"/>
    <w:rsid w:val="0083213B"/>
    <w:rsid w:val="0084256A"/>
    <w:rsid w:val="00851ACC"/>
    <w:rsid w:val="00851B9F"/>
    <w:rsid w:val="00852FF2"/>
    <w:rsid w:val="00854920"/>
    <w:rsid w:val="008601BE"/>
    <w:rsid w:val="00862012"/>
    <w:rsid w:val="00867648"/>
    <w:rsid w:val="00870A5A"/>
    <w:rsid w:val="00881949"/>
    <w:rsid w:val="00884B35"/>
    <w:rsid w:val="008856C8"/>
    <w:rsid w:val="00893189"/>
    <w:rsid w:val="008A05DA"/>
    <w:rsid w:val="008A09DF"/>
    <w:rsid w:val="008B3DE9"/>
    <w:rsid w:val="008B5CB7"/>
    <w:rsid w:val="008B5EC1"/>
    <w:rsid w:val="008C0CEB"/>
    <w:rsid w:val="008C10BA"/>
    <w:rsid w:val="008C2F26"/>
    <w:rsid w:val="008C3167"/>
    <w:rsid w:val="008C353F"/>
    <w:rsid w:val="008C5A0F"/>
    <w:rsid w:val="008C6B7E"/>
    <w:rsid w:val="008D1BD4"/>
    <w:rsid w:val="008D37F9"/>
    <w:rsid w:val="008D564F"/>
    <w:rsid w:val="008E042D"/>
    <w:rsid w:val="008F0142"/>
    <w:rsid w:val="008F33A5"/>
    <w:rsid w:val="008F758C"/>
    <w:rsid w:val="00900A4B"/>
    <w:rsid w:val="00901FC7"/>
    <w:rsid w:val="00906589"/>
    <w:rsid w:val="00911216"/>
    <w:rsid w:val="009155C6"/>
    <w:rsid w:val="00926B9F"/>
    <w:rsid w:val="009311F2"/>
    <w:rsid w:val="00932F5B"/>
    <w:rsid w:val="00945E5E"/>
    <w:rsid w:val="00947122"/>
    <w:rsid w:val="0095725C"/>
    <w:rsid w:val="00957507"/>
    <w:rsid w:val="0096129E"/>
    <w:rsid w:val="00967A67"/>
    <w:rsid w:val="009743FF"/>
    <w:rsid w:val="009772DA"/>
    <w:rsid w:val="009835C3"/>
    <w:rsid w:val="0098477F"/>
    <w:rsid w:val="00985969"/>
    <w:rsid w:val="00986F3E"/>
    <w:rsid w:val="00991F93"/>
    <w:rsid w:val="00993D09"/>
    <w:rsid w:val="00996906"/>
    <w:rsid w:val="00996A55"/>
    <w:rsid w:val="009A0861"/>
    <w:rsid w:val="009A0B95"/>
    <w:rsid w:val="009A4255"/>
    <w:rsid w:val="009A5879"/>
    <w:rsid w:val="009B0B89"/>
    <w:rsid w:val="009B2F9A"/>
    <w:rsid w:val="009B3541"/>
    <w:rsid w:val="009B3621"/>
    <w:rsid w:val="009B43BB"/>
    <w:rsid w:val="009B4F94"/>
    <w:rsid w:val="009B5118"/>
    <w:rsid w:val="009C08BF"/>
    <w:rsid w:val="009C1D43"/>
    <w:rsid w:val="009C6274"/>
    <w:rsid w:val="009D4E04"/>
    <w:rsid w:val="009D553B"/>
    <w:rsid w:val="009D6C0B"/>
    <w:rsid w:val="009E087E"/>
    <w:rsid w:val="009E13EE"/>
    <w:rsid w:val="009E2398"/>
    <w:rsid w:val="009F573A"/>
    <w:rsid w:val="009F6CB7"/>
    <w:rsid w:val="009F7B69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459F5"/>
    <w:rsid w:val="00A47267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81870"/>
    <w:rsid w:val="00A97C54"/>
    <w:rsid w:val="00AA11F7"/>
    <w:rsid w:val="00AA2660"/>
    <w:rsid w:val="00AA47E5"/>
    <w:rsid w:val="00AA7157"/>
    <w:rsid w:val="00AB05CE"/>
    <w:rsid w:val="00AC015B"/>
    <w:rsid w:val="00AC301D"/>
    <w:rsid w:val="00AC66BD"/>
    <w:rsid w:val="00AD001B"/>
    <w:rsid w:val="00AD119C"/>
    <w:rsid w:val="00AD1782"/>
    <w:rsid w:val="00AE3E76"/>
    <w:rsid w:val="00AE7B34"/>
    <w:rsid w:val="00AF3275"/>
    <w:rsid w:val="00B00932"/>
    <w:rsid w:val="00B02210"/>
    <w:rsid w:val="00B066BB"/>
    <w:rsid w:val="00B11BCF"/>
    <w:rsid w:val="00B20947"/>
    <w:rsid w:val="00B216B5"/>
    <w:rsid w:val="00B21C96"/>
    <w:rsid w:val="00B2221C"/>
    <w:rsid w:val="00B22931"/>
    <w:rsid w:val="00B2628E"/>
    <w:rsid w:val="00B34246"/>
    <w:rsid w:val="00B43C3F"/>
    <w:rsid w:val="00B46656"/>
    <w:rsid w:val="00B52983"/>
    <w:rsid w:val="00B544ED"/>
    <w:rsid w:val="00B575A4"/>
    <w:rsid w:val="00B65287"/>
    <w:rsid w:val="00B66739"/>
    <w:rsid w:val="00B72AD5"/>
    <w:rsid w:val="00B750E6"/>
    <w:rsid w:val="00B7689C"/>
    <w:rsid w:val="00B806AD"/>
    <w:rsid w:val="00B829C3"/>
    <w:rsid w:val="00B82D7D"/>
    <w:rsid w:val="00B8518F"/>
    <w:rsid w:val="00B9223E"/>
    <w:rsid w:val="00B9342A"/>
    <w:rsid w:val="00B946FC"/>
    <w:rsid w:val="00B948C7"/>
    <w:rsid w:val="00B94A60"/>
    <w:rsid w:val="00B95D71"/>
    <w:rsid w:val="00B96118"/>
    <w:rsid w:val="00BA14AD"/>
    <w:rsid w:val="00BA3A11"/>
    <w:rsid w:val="00BA56D5"/>
    <w:rsid w:val="00BB2712"/>
    <w:rsid w:val="00BC6C14"/>
    <w:rsid w:val="00BD201C"/>
    <w:rsid w:val="00BD2DD2"/>
    <w:rsid w:val="00BD334D"/>
    <w:rsid w:val="00BD66E3"/>
    <w:rsid w:val="00BE08F7"/>
    <w:rsid w:val="00BE3FE1"/>
    <w:rsid w:val="00BE5CFA"/>
    <w:rsid w:val="00BF179F"/>
    <w:rsid w:val="00BF3441"/>
    <w:rsid w:val="00BF3704"/>
    <w:rsid w:val="00C06107"/>
    <w:rsid w:val="00C120D4"/>
    <w:rsid w:val="00C14E5C"/>
    <w:rsid w:val="00C1547C"/>
    <w:rsid w:val="00C17010"/>
    <w:rsid w:val="00C2005A"/>
    <w:rsid w:val="00C20347"/>
    <w:rsid w:val="00C2514D"/>
    <w:rsid w:val="00C30314"/>
    <w:rsid w:val="00C30D2E"/>
    <w:rsid w:val="00C376DD"/>
    <w:rsid w:val="00C4100B"/>
    <w:rsid w:val="00C4124A"/>
    <w:rsid w:val="00C41664"/>
    <w:rsid w:val="00C42501"/>
    <w:rsid w:val="00C43106"/>
    <w:rsid w:val="00C565E0"/>
    <w:rsid w:val="00C57936"/>
    <w:rsid w:val="00C63D32"/>
    <w:rsid w:val="00C6454D"/>
    <w:rsid w:val="00C720C6"/>
    <w:rsid w:val="00C81317"/>
    <w:rsid w:val="00C830A3"/>
    <w:rsid w:val="00C932D4"/>
    <w:rsid w:val="00CA1238"/>
    <w:rsid w:val="00CA5F5D"/>
    <w:rsid w:val="00CA637E"/>
    <w:rsid w:val="00CB035D"/>
    <w:rsid w:val="00CB0BA1"/>
    <w:rsid w:val="00CB7829"/>
    <w:rsid w:val="00CC363B"/>
    <w:rsid w:val="00CC3BBF"/>
    <w:rsid w:val="00CC7842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682"/>
    <w:rsid w:val="00D137EA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47733"/>
    <w:rsid w:val="00D47D43"/>
    <w:rsid w:val="00D553FB"/>
    <w:rsid w:val="00D574F5"/>
    <w:rsid w:val="00D62B82"/>
    <w:rsid w:val="00D62BE9"/>
    <w:rsid w:val="00D707A1"/>
    <w:rsid w:val="00D71CC8"/>
    <w:rsid w:val="00D808D2"/>
    <w:rsid w:val="00D82F88"/>
    <w:rsid w:val="00D947D6"/>
    <w:rsid w:val="00D960EC"/>
    <w:rsid w:val="00DA085A"/>
    <w:rsid w:val="00DA2E31"/>
    <w:rsid w:val="00DB79EE"/>
    <w:rsid w:val="00DB7A49"/>
    <w:rsid w:val="00DC2780"/>
    <w:rsid w:val="00DF127A"/>
    <w:rsid w:val="00DF311C"/>
    <w:rsid w:val="00DF4496"/>
    <w:rsid w:val="00DF7A23"/>
    <w:rsid w:val="00DF7F70"/>
    <w:rsid w:val="00E02279"/>
    <w:rsid w:val="00E067BF"/>
    <w:rsid w:val="00E06D2A"/>
    <w:rsid w:val="00E116D5"/>
    <w:rsid w:val="00E11D82"/>
    <w:rsid w:val="00E17276"/>
    <w:rsid w:val="00E258E5"/>
    <w:rsid w:val="00E26C18"/>
    <w:rsid w:val="00E27A3B"/>
    <w:rsid w:val="00E3041A"/>
    <w:rsid w:val="00E33E62"/>
    <w:rsid w:val="00E34560"/>
    <w:rsid w:val="00E4715A"/>
    <w:rsid w:val="00E51683"/>
    <w:rsid w:val="00E613B2"/>
    <w:rsid w:val="00E61887"/>
    <w:rsid w:val="00E7093D"/>
    <w:rsid w:val="00E70D98"/>
    <w:rsid w:val="00E71018"/>
    <w:rsid w:val="00E71BD7"/>
    <w:rsid w:val="00E72735"/>
    <w:rsid w:val="00E72EA3"/>
    <w:rsid w:val="00E74344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52A3"/>
    <w:rsid w:val="00EC6744"/>
    <w:rsid w:val="00ED2187"/>
    <w:rsid w:val="00ED57EA"/>
    <w:rsid w:val="00EE10DB"/>
    <w:rsid w:val="00EE28E0"/>
    <w:rsid w:val="00EE2F34"/>
    <w:rsid w:val="00EE7935"/>
    <w:rsid w:val="00EE7DE5"/>
    <w:rsid w:val="00EF08B9"/>
    <w:rsid w:val="00EF3553"/>
    <w:rsid w:val="00F00716"/>
    <w:rsid w:val="00F037AA"/>
    <w:rsid w:val="00F07931"/>
    <w:rsid w:val="00F166AC"/>
    <w:rsid w:val="00F236BF"/>
    <w:rsid w:val="00F316E5"/>
    <w:rsid w:val="00F44D55"/>
    <w:rsid w:val="00F44E31"/>
    <w:rsid w:val="00F46902"/>
    <w:rsid w:val="00F53407"/>
    <w:rsid w:val="00F53C9D"/>
    <w:rsid w:val="00F550C5"/>
    <w:rsid w:val="00F5560F"/>
    <w:rsid w:val="00F55BFE"/>
    <w:rsid w:val="00F56925"/>
    <w:rsid w:val="00F63A64"/>
    <w:rsid w:val="00F667FB"/>
    <w:rsid w:val="00F74F8D"/>
    <w:rsid w:val="00F763E9"/>
    <w:rsid w:val="00F779C8"/>
    <w:rsid w:val="00F8208A"/>
    <w:rsid w:val="00F828F8"/>
    <w:rsid w:val="00F8655F"/>
    <w:rsid w:val="00F87B66"/>
    <w:rsid w:val="00F91BD0"/>
    <w:rsid w:val="00FA06BA"/>
    <w:rsid w:val="00FA133E"/>
    <w:rsid w:val="00FA3060"/>
    <w:rsid w:val="00FA3C00"/>
    <w:rsid w:val="00FB26FC"/>
    <w:rsid w:val="00FB656E"/>
    <w:rsid w:val="00FC0E2D"/>
    <w:rsid w:val="00FC2638"/>
    <w:rsid w:val="00FC77FC"/>
    <w:rsid w:val="00FD00A9"/>
    <w:rsid w:val="00FD2CF8"/>
    <w:rsid w:val="00FD77B0"/>
    <w:rsid w:val="00FE1F9F"/>
    <w:rsid w:val="00FE20E5"/>
    <w:rsid w:val="00FE3F49"/>
    <w:rsid w:val="00FE5A97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3A5"/>
    <w:pPr>
      <w:keepNext/>
      <w:keepLines/>
      <w:shd w:val="clear" w:color="auto" w:fill="FFD1AF" w:themeFill="background2"/>
      <w:spacing w:before="20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33A5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29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after="0" w:line="240" w:lineRule="auto"/>
      <w:ind w:right="57"/>
      <w:contextualSpacing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29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heelsforwellbeing.org.uk/disabled-children-powered-aids/" TargetMode="External"/><Relationship Id="rId13" Type="http://schemas.openxmlformats.org/officeDocument/2006/relationships/hyperlink" Target="https://analysisfunction.civilservice.gov.uk/policy-store/questionnaire-design-guidance/" TargetMode="External"/><Relationship Id="rId3" Type="http://schemas.openxmlformats.org/officeDocument/2006/relationships/hyperlink" Target="https://www.legislation.gov.uk/ukpga/2005/9/contents" TargetMode="External"/><Relationship Id="rId7" Type="http://schemas.openxmlformats.org/officeDocument/2006/relationships/hyperlink" Target="https://wheelsforwellbeing.org.uk/right-to-use-prams-pushchairs/" TargetMode="External"/><Relationship Id="rId12" Type="http://schemas.openxmlformats.org/officeDocument/2006/relationships/hyperlink" Target="https://www.gov.uk/government/publications/consultation-principles-guidance" TargetMode="External"/><Relationship Id="rId17" Type="http://schemas.openxmlformats.org/officeDocument/2006/relationships/hyperlink" Target="https://wheelsforwellbeing.org.uk/disabled-children-powered-aids/" TargetMode="External"/><Relationship Id="rId2" Type="http://schemas.openxmlformats.org/officeDocument/2006/relationships/hyperlink" Target="https://wheelsforwellbeing.org.uk/wheels-for-wellbeing-quick-guide-to-the-equality-act-2010/" TargetMode="External"/><Relationship Id="rId16" Type="http://schemas.openxmlformats.org/officeDocument/2006/relationships/hyperlink" Target="https://wheelsforwellbeing.org.uk/case-study-stephs-ice-trike-and-the-cycle-to-work-scheme/" TargetMode="External"/><Relationship Id="rId1" Type="http://schemas.openxmlformats.org/officeDocument/2006/relationships/hyperlink" Target="https://wheelsforwellbeing.org.uk/our-campaigns/campaigning/mobility-aid-legal-changes-every-journey-everyone/" TargetMode="External"/><Relationship Id="rId6" Type="http://schemas.openxmlformats.org/officeDocument/2006/relationships/hyperlink" Target="https://wheelsforwellbeing.org.uk/we-think-people-who-use-mobility-scooters-should-be-allowed-to-carry-friends-and-family/" TargetMode="External"/><Relationship Id="rId11" Type="http://schemas.openxmlformats.org/officeDocument/2006/relationships/hyperlink" Target="https://www.local.gov.uk/sites/default/files/documents/The%20Gunning%20Principles.pdf" TargetMode="External"/><Relationship Id="rId5" Type="http://schemas.openxmlformats.org/officeDocument/2006/relationships/hyperlink" Target="https://wheelsforwellbeing.org.uk/mobility-aid-users-cycle-tracks/" TargetMode="External"/><Relationship Id="rId15" Type="http://schemas.openxmlformats.org/officeDocument/2006/relationships/hyperlink" Target="https://wheelsforwellbeing.org.uk/my-mobility-david-and-gills-tandem-mobility-scooter/" TargetMode="External"/><Relationship Id="rId10" Type="http://schemas.openxmlformats.org/officeDocument/2006/relationships/hyperlink" Target="https://wheelsforwellbeing.org.uk/different-regulatory-areas-mobility-devices/" TargetMode="External"/><Relationship Id="rId4" Type="http://schemas.openxmlformats.org/officeDocument/2006/relationships/hyperlink" Target="https://wheelsforwellbeing.org.uk/similar-trip-speed/" TargetMode="External"/><Relationship Id="rId9" Type="http://schemas.openxmlformats.org/officeDocument/2006/relationships/hyperlink" Target="https://wheelsforwellbeing.org.uk/rules-mobility-aids-clearly-written-free-to-read/" TargetMode="External"/><Relationship Id="rId14" Type="http://schemas.openxmlformats.org/officeDocument/2006/relationships/hyperlink" Target="https://wheelsforwellbeing.org.uk/wp-content/uploads/2026/02/My-Mobility-device-information-and-sources-v06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4ED5A66E549ACCAECD9C4860C6C" ma:contentTypeVersion="13" ma:contentTypeDescription="Create a new document." ma:contentTypeScope="" ma:versionID="f7af8f8b4240a2c67243342387cda01f">
  <xsd:schema xmlns:xsd="http://www.w3.org/2001/XMLSchema" xmlns:xs="http://www.w3.org/2001/XMLSchema" xmlns:p="http://schemas.microsoft.com/office/2006/metadata/properties" xmlns:ns2="e0d36e78-dd65-4b7e-a014-e45bf1c1d8f9" xmlns:ns3="f3822d69-8d42-4ac3-bd55-2f751fb5e554" targetNamespace="http://schemas.microsoft.com/office/2006/metadata/properties" ma:root="true" ma:fieldsID="753fe98a60cb8782aea8c33c47fc33d6" ns2:_="" ns3:_="">
    <xsd:import namespace="e0d36e78-dd65-4b7e-a014-e45bf1c1d8f9"/>
    <xsd:import namespace="f3822d69-8d42-4ac3-bd55-2f751fb5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6e78-dd65-4b7e-a014-e45bf1c1d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7f45d5-5f96-4044-8998-43ecf430c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2d69-8d42-4ac3-bd55-2f751fb5e5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0ad732-611a-4231-9005-c7b65add6ea0}" ma:internalName="TaxCatchAll" ma:showField="CatchAllData" ma:web="f3822d69-8d42-4ac3-bd55-2f751fb5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6e78-dd65-4b7e-a014-e45bf1c1d8f9">
      <Terms xmlns="http://schemas.microsoft.com/office/infopath/2007/PartnerControls"/>
    </lcf76f155ced4ddcb4097134ff3c332f>
    <TaxCatchAll xmlns="f3822d69-8d42-4ac3-bd55-2f751fb5e554" xsi:nil="true"/>
  </documentManagement>
</p:properties>
</file>

<file path=customXml/itemProps1.xml><?xml version="1.0" encoding="utf-8"?>
<ds:datastoreItem xmlns:ds="http://schemas.openxmlformats.org/officeDocument/2006/customXml" ds:itemID="{08F60552-FC3F-4A61-8317-471D0A556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B946E-1252-45D8-8687-E42B1DE36068}"/>
</file>

<file path=customXml/itemProps3.xml><?xml version="1.0" encoding="utf-8"?>
<ds:datastoreItem xmlns:ds="http://schemas.openxmlformats.org/officeDocument/2006/customXml" ds:itemID="{1EE57E87-6601-44B1-8BF3-C84F991C0DCB}"/>
</file>

<file path=customXml/itemProps4.xml><?xml version="1.0" encoding="utf-8"?>
<ds:datastoreItem xmlns:ds="http://schemas.openxmlformats.org/officeDocument/2006/customXml" ds:itemID="{69748E12-5765-46B9-920C-3ED22FCF8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Kate Ball</cp:lastModifiedBy>
  <cp:revision>2</cp:revision>
  <cp:lastPrinted>2024-04-15T09:39:00Z</cp:lastPrinted>
  <dcterms:created xsi:type="dcterms:W3CDTF">2026-03-24T12:24:00Z</dcterms:created>
  <dcterms:modified xsi:type="dcterms:W3CDTF">2026-03-24T12:24:00Z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0x0101000F75E4ED5A66E549ACCAECD9C4860C6C</vt:lpwstr>
  </property>
</Properties>
</file>