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25999" w14:textId="4232DB2D" w:rsidR="00237E71" w:rsidRDefault="003F1D0B" w:rsidP="00237E71">
      <w:pPr>
        <w:pStyle w:val="Heading1"/>
      </w:pPr>
      <w:r>
        <w:t xml:space="preserve">We think </w:t>
      </w:r>
      <w:r w:rsidR="00F80C82">
        <w:t>rules for mobility aids should be clearly written and free to read</w:t>
      </w:r>
    </w:p>
    <w:p w14:paraId="5A4D7416" w14:textId="764CE9F0" w:rsidR="00A97C54" w:rsidRPr="00A97C54" w:rsidRDefault="00A97C54" w:rsidP="00A97C54">
      <w:r>
        <w:rPr>
          <w:noProof/>
        </w:rPr>
        <w:drawing>
          <wp:inline distT="0" distB="0" distL="0" distR="0" wp14:anchorId="7FB78AC7" wp14:editId="76CF31D8">
            <wp:extent cx="6192520" cy="6192520"/>
            <wp:effectExtent l="19050" t="19050" r="17780" b="17780"/>
            <wp:docPr id="2" name="Picture 2" descr="Graphic titled “We think rules for mobility aids should be clearly written and free to read.”&#10;Drawing shows a man sitting looking thoughtful in an active manual wheelchair. Thought bubbles left to right read “Will it work in wet weather?” “How safe are the batteries?” “Where can I use it?” “How quickly should I be able to stop?”. Laid out in an arc and shown more faintly are a range of mobility aids the person is considering. From left to right, a powerchair with standing/lying functions, a recumbent trike, a manual wheelchair with front power attachment, a manual wheelchair with e-assist wheels, a sit-on e-scooter, a manual wheelchair with e-handcycle attachment, a mobility scooter.&#10;At the bottom, hashtag MobilityJustice and the Wheels for Wellbeing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dem scooters 0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92520" cy="6192520"/>
                    </a:xfrm>
                    <a:prstGeom prst="rect">
                      <a:avLst/>
                    </a:prstGeom>
                    <a:ln>
                      <a:solidFill>
                        <a:schemeClr val="tx2">
                          <a:lumMod val="75000"/>
                        </a:schemeClr>
                      </a:solidFill>
                    </a:ln>
                  </pic:spPr>
                </pic:pic>
              </a:graphicData>
            </a:graphic>
          </wp:inline>
        </w:drawing>
      </w:r>
    </w:p>
    <w:p w14:paraId="04E9CE32" w14:textId="681B945A" w:rsidR="006958E3" w:rsidRDefault="0096151B" w:rsidP="00237E71">
      <w:pPr>
        <w:pStyle w:val="Heading2"/>
        <w:rPr>
          <w:lang w:val="en-US"/>
        </w:rPr>
      </w:pPr>
      <w:r>
        <w:t>Aren’t the rules and regulations already clear</w:t>
      </w:r>
      <w:r w:rsidR="00462A55">
        <w:t>?</w:t>
      </w:r>
    </w:p>
    <w:p w14:paraId="14A2F114" w14:textId="5DB7C7D6" w:rsidR="00FC0E2D" w:rsidRDefault="003B7577" w:rsidP="00FC0E2D">
      <w:pPr>
        <w:rPr>
          <w:rFonts w:ascii="Arial" w:hAnsi="Arial" w:cs="Arial"/>
          <w:bCs/>
          <w:color w:val="000000"/>
        </w:rPr>
      </w:pPr>
      <w:bookmarkStart w:id="0" w:name="_Hlk219114093"/>
      <w:r>
        <w:rPr>
          <w:rFonts w:ascii="Arial" w:hAnsi="Arial" w:cs="Arial"/>
          <w:bCs/>
          <w:color w:val="000000"/>
        </w:rPr>
        <w:t>In the UK at present</w:t>
      </w:r>
      <w:r w:rsidR="00FC0E2D">
        <w:rPr>
          <w:rFonts w:ascii="Arial" w:hAnsi="Arial" w:cs="Arial"/>
          <w:bCs/>
          <w:color w:val="000000"/>
        </w:rPr>
        <w:t xml:space="preserve">, </w:t>
      </w:r>
      <w:r w:rsidR="009155C6">
        <w:rPr>
          <w:rFonts w:ascii="Arial" w:hAnsi="Arial" w:cs="Arial"/>
          <w:bCs/>
          <w:color w:val="000000"/>
        </w:rPr>
        <w:t>laws</w:t>
      </w:r>
      <w:r w:rsidR="00B46656">
        <w:rPr>
          <w:rFonts w:ascii="Arial" w:hAnsi="Arial" w:cs="Arial"/>
          <w:bCs/>
          <w:color w:val="000000"/>
        </w:rPr>
        <w:t xml:space="preserve"> about “invalid carriages” </w:t>
      </w:r>
      <w:r w:rsidR="009155C6">
        <w:rPr>
          <w:rFonts w:ascii="Arial" w:hAnsi="Arial" w:cs="Arial"/>
          <w:bCs/>
          <w:color w:val="000000"/>
        </w:rPr>
        <w:t xml:space="preserve">largely </w:t>
      </w:r>
      <w:r w:rsidR="00B46656">
        <w:rPr>
          <w:rFonts w:ascii="Arial" w:hAnsi="Arial" w:cs="Arial"/>
          <w:bCs/>
          <w:color w:val="000000"/>
        </w:rPr>
        <w:t xml:space="preserve">determine </w:t>
      </w:r>
      <w:r w:rsidR="00EC1382">
        <w:rPr>
          <w:rFonts w:ascii="Arial" w:hAnsi="Arial" w:cs="Arial"/>
          <w:bCs/>
          <w:color w:val="000000"/>
        </w:rPr>
        <w:t>the</w:t>
      </w:r>
      <w:r w:rsidR="00B46656">
        <w:rPr>
          <w:rFonts w:ascii="Arial" w:hAnsi="Arial" w:cs="Arial"/>
          <w:bCs/>
          <w:color w:val="000000"/>
        </w:rPr>
        <w:t xml:space="preserve"> mobility aids Disabled people can use</w:t>
      </w:r>
      <w:bookmarkEnd w:id="0"/>
      <w:r w:rsidR="00C56539">
        <w:rPr>
          <w:rFonts w:ascii="Arial" w:hAnsi="Arial" w:cs="Arial"/>
          <w:bCs/>
          <w:color w:val="000000"/>
        </w:rPr>
        <w:t xml:space="preserve">, but </w:t>
      </w:r>
      <w:r w:rsidR="007B3CC3">
        <w:rPr>
          <w:rFonts w:ascii="Arial" w:hAnsi="Arial" w:cs="Arial"/>
          <w:bCs/>
          <w:color w:val="000000"/>
        </w:rPr>
        <w:t xml:space="preserve">other </w:t>
      </w:r>
      <w:r w:rsidR="00C708A2">
        <w:rPr>
          <w:rFonts w:ascii="Arial" w:hAnsi="Arial" w:cs="Arial"/>
          <w:bCs/>
          <w:color w:val="000000"/>
        </w:rPr>
        <w:t>laws and standards including about road</w:t>
      </w:r>
      <w:r w:rsidR="00EC1382">
        <w:rPr>
          <w:rFonts w:ascii="Arial" w:hAnsi="Arial" w:cs="Arial"/>
          <w:bCs/>
          <w:color w:val="000000"/>
        </w:rPr>
        <w:t>s and</w:t>
      </w:r>
      <w:r w:rsidR="00C708A2">
        <w:rPr>
          <w:rFonts w:ascii="Arial" w:hAnsi="Arial" w:cs="Arial"/>
          <w:bCs/>
          <w:color w:val="000000"/>
        </w:rPr>
        <w:t xml:space="preserve"> vehicles, highways, and product standards also affect how mobility aids work and where different aids may be used</w:t>
      </w:r>
      <w:r w:rsidR="00FC0E2D">
        <w:rPr>
          <w:rFonts w:ascii="Arial" w:hAnsi="Arial" w:cs="Arial"/>
          <w:bCs/>
          <w:color w:val="000000"/>
        </w:rPr>
        <w:t>.</w:t>
      </w:r>
    </w:p>
    <w:p w14:paraId="09C53FE4" w14:textId="10BA2FE3" w:rsidR="003045D1" w:rsidRDefault="00413873" w:rsidP="00FC0E2D">
      <w:pPr>
        <w:rPr>
          <w:rFonts w:ascii="Arial" w:hAnsi="Arial" w:cs="Arial"/>
          <w:bCs/>
          <w:color w:val="000000"/>
        </w:rPr>
      </w:pPr>
      <w:r>
        <w:rPr>
          <w:rFonts w:ascii="Arial" w:hAnsi="Arial" w:cs="Arial"/>
          <w:bCs/>
          <w:color w:val="000000"/>
        </w:rPr>
        <w:lastRenderedPageBreak/>
        <w:t>T</w:t>
      </w:r>
      <w:r w:rsidR="003045D1">
        <w:rPr>
          <w:rFonts w:ascii="Arial" w:hAnsi="Arial" w:cs="Arial"/>
          <w:bCs/>
          <w:color w:val="000000"/>
        </w:rPr>
        <w:t xml:space="preserve">he regulations and standards which affect mobility aids are in lots of different places. The rules themselves are poorly-understood, discriminatory and illogical. Government guidance is unclear and </w:t>
      </w:r>
      <w:r w:rsidR="00F014C1">
        <w:rPr>
          <w:rFonts w:ascii="Arial" w:hAnsi="Arial" w:cs="Arial"/>
          <w:bCs/>
          <w:color w:val="000000"/>
        </w:rPr>
        <w:t>sometimes incorrect</w:t>
      </w:r>
      <w:r w:rsidR="003045D1">
        <w:rPr>
          <w:rFonts w:ascii="Arial" w:hAnsi="Arial" w:cs="Arial"/>
          <w:bCs/>
          <w:color w:val="000000"/>
        </w:rPr>
        <w:t>,</w:t>
      </w:r>
      <w:r w:rsidR="004C7811">
        <w:rPr>
          <w:rStyle w:val="EndnoteReference"/>
          <w:rFonts w:ascii="Arial" w:hAnsi="Arial" w:cs="Arial"/>
          <w:bCs/>
          <w:color w:val="000000"/>
        </w:rPr>
        <w:endnoteReference w:id="1"/>
      </w:r>
      <w:r w:rsidR="003045D1">
        <w:rPr>
          <w:rFonts w:ascii="Arial" w:hAnsi="Arial" w:cs="Arial"/>
          <w:bCs/>
          <w:color w:val="000000"/>
        </w:rPr>
        <w:t xml:space="preserve"> and standards </w:t>
      </w:r>
      <w:r w:rsidR="00EC1382">
        <w:rPr>
          <w:rFonts w:ascii="Arial" w:hAnsi="Arial" w:cs="Arial"/>
          <w:bCs/>
          <w:color w:val="000000"/>
        </w:rPr>
        <w:t>for</w:t>
      </w:r>
      <w:r w:rsidR="003045D1">
        <w:rPr>
          <w:rFonts w:ascii="Arial" w:hAnsi="Arial" w:cs="Arial"/>
          <w:bCs/>
          <w:color w:val="000000"/>
        </w:rPr>
        <w:t xml:space="preserve"> how mobility aids should work are hidden behind high paywalls.</w:t>
      </w:r>
    </w:p>
    <w:p w14:paraId="199AD9B0" w14:textId="192FC640" w:rsidR="003045D1" w:rsidRDefault="003045D1" w:rsidP="00FC0E2D">
      <w:pPr>
        <w:rPr>
          <w:rFonts w:ascii="Arial" w:hAnsi="Arial" w:cs="Arial"/>
          <w:bCs/>
          <w:color w:val="000000"/>
        </w:rPr>
      </w:pPr>
      <w:r>
        <w:rPr>
          <w:rFonts w:ascii="Arial" w:hAnsi="Arial" w:cs="Arial"/>
          <w:bCs/>
          <w:color w:val="000000"/>
        </w:rPr>
        <w:t xml:space="preserve">The consequences </w:t>
      </w:r>
      <w:r w:rsidR="00F40B65">
        <w:rPr>
          <w:rFonts w:ascii="Arial" w:hAnsi="Arial" w:cs="Arial"/>
          <w:bCs/>
          <w:color w:val="000000"/>
        </w:rPr>
        <w:t xml:space="preserve">to mobility device users </w:t>
      </w:r>
      <w:r w:rsidR="0001723A">
        <w:rPr>
          <w:rFonts w:ascii="Arial" w:hAnsi="Arial" w:cs="Arial"/>
          <w:bCs/>
          <w:color w:val="000000"/>
        </w:rPr>
        <w:t xml:space="preserve">of unclear, poorly-understood and hidden rules </w:t>
      </w:r>
      <w:r>
        <w:rPr>
          <w:rFonts w:ascii="Arial" w:hAnsi="Arial" w:cs="Arial"/>
          <w:bCs/>
          <w:color w:val="000000"/>
        </w:rPr>
        <w:t>are serious:</w:t>
      </w:r>
    </w:p>
    <w:p w14:paraId="40B57C0D" w14:textId="77777777" w:rsidR="00F40B65" w:rsidRDefault="00F40B65" w:rsidP="00F40B65">
      <w:pPr>
        <w:pStyle w:val="Heading3"/>
      </w:pPr>
      <w:r>
        <w:t>Unclear and poorly-understood rules put mobility device users at risk</w:t>
      </w:r>
    </w:p>
    <w:p w14:paraId="082D0D88" w14:textId="7B9D97B3" w:rsidR="00F40B65" w:rsidRDefault="00462508" w:rsidP="00F40B65">
      <w:r>
        <w:t>Disabled people using mobility aids sometimes</w:t>
      </w:r>
      <w:r w:rsidR="00D76BD1">
        <w:t xml:space="preserve"> break </w:t>
      </w:r>
      <w:r w:rsidR="00F014C1">
        <w:t>laws</w:t>
      </w:r>
      <w:r w:rsidR="00AA7A96">
        <w:t xml:space="preserve"> </w:t>
      </w:r>
      <w:r w:rsidR="00D76BD1">
        <w:t xml:space="preserve">they don’t know exist, or </w:t>
      </w:r>
      <w:r w:rsidR="00AA7A96">
        <w:t>when</w:t>
      </w:r>
      <w:r w:rsidR="00D76BD1">
        <w:t xml:space="preserve"> following </w:t>
      </w:r>
      <w:r w:rsidR="00AA7A96">
        <w:t>rules</w:t>
      </w:r>
      <w:r w:rsidR="00F7057D">
        <w:t xml:space="preserve"> would</w:t>
      </w:r>
      <w:r w:rsidR="00D76BD1">
        <w:t xml:space="preserve"> put them at risk</w:t>
      </w:r>
      <w:r w:rsidR="00170B10">
        <w:t xml:space="preserve"> </w:t>
      </w:r>
      <w:r w:rsidR="00D76BD1">
        <w:t xml:space="preserve">or make mobility impossible – for example, rules against using </w:t>
      </w:r>
      <w:hyperlink r:id="rId9" w:history="1">
        <w:r w:rsidR="00D76BD1" w:rsidRPr="00462508">
          <w:rPr>
            <w:rStyle w:val="Hyperlink"/>
          </w:rPr>
          <w:t>mobility scooters in cycle lanes and bus lanes</w:t>
        </w:r>
      </w:hyperlink>
      <w:r w:rsidR="00D76BD1">
        <w:t xml:space="preserve"> and </w:t>
      </w:r>
      <w:hyperlink r:id="rId10" w:history="1">
        <w:r w:rsidR="00D76BD1" w:rsidRPr="00462508">
          <w:rPr>
            <w:rStyle w:val="Hyperlink"/>
          </w:rPr>
          <w:t>impossible wheelchair weight limits for some children</w:t>
        </w:r>
      </w:hyperlink>
      <w:r w:rsidR="00D76BD1">
        <w:t>.</w:t>
      </w:r>
    </w:p>
    <w:p w14:paraId="6D677821" w14:textId="2226A89B" w:rsidR="00D76BD1" w:rsidRDefault="009937E1" w:rsidP="00F40B65">
      <w:r>
        <w:t>But</w:t>
      </w:r>
      <w:r w:rsidR="00D76BD1">
        <w:t xml:space="preserve"> if something goes wrong, a Disabled person who’s breaking the law is at risk of having their mobility aid confiscated</w:t>
      </w:r>
      <w:r w:rsidR="00462508">
        <w:rPr>
          <w:rStyle w:val="EndnoteReference"/>
        </w:rPr>
        <w:endnoteReference w:id="2"/>
      </w:r>
      <w:r w:rsidR="00D76BD1">
        <w:t xml:space="preserve"> or even of being prosecuted, even if </w:t>
      </w:r>
      <w:r>
        <w:t>what they were doing didn’t put anybody at risk</w:t>
      </w:r>
      <w:r w:rsidR="00D76BD1">
        <w:t xml:space="preserve"> or if they thought they were following the rules.</w:t>
      </w:r>
    </w:p>
    <w:p w14:paraId="4903005C" w14:textId="175B146A" w:rsidR="00D76BD1" w:rsidRDefault="00E5726F" w:rsidP="00F40B65">
      <w:r>
        <w:t>Finding out what the rules are is almost impossible: G</w:t>
      </w:r>
      <w:r w:rsidR="00D76BD1">
        <w:t>uidance provided by the government</w:t>
      </w:r>
      <w:r w:rsidR="00462508">
        <w:rPr>
          <w:rStyle w:val="EndnoteReference"/>
        </w:rPr>
        <w:endnoteReference w:id="3"/>
      </w:r>
      <w:r w:rsidR="00D76BD1">
        <w:t xml:space="preserve"> and by mobility device suppliers</w:t>
      </w:r>
      <w:r w:rsidR="00462508">
        <w:rPr>
          <w:rStyle w:val="EndnoteReference"/>
        </w:rPr>
        <w:endnoteReference w:id="4"/>
      </w:r>
      <w:r w:rsidR="00170B10">
        <w:t xml:space="preserve"> is frequently wrong, leaving Disabled people </w:t>
      </w:r>
      <w:r w:rsidR="00421FE4">
        <w:t>unable to find out what we are and aren’t allowed to do</w:t>
      </w:r>
      <w:r w:rsidR="00C05484">
        <w:t xml:space="preserve">, and, even more concerningly, leaving us at risk of incorrect enforcement and discrimination by officials who’ve </w:t>
      </w:r>
      <w:r>
        <w:t>learned</w:t>
      </w:r>
      <w:r w:rsidR="00C05484">
        <w:t xml:space="preserve"> wrong rules</w:t>
      </w:r>
      <w:r w:rsidR="00170B10">
        <w:t>.</w:t>
      </w:r>
    </w:p>
    <w:p w14:paraId="4D77405C" w14:textId="299E4342" w:rsidR="00D76BD1" w:rsidRDefault="00D76BD1" w:rsidP="00F40B65">
      <w:r>
        <w:t>We</w:t>
      </w:r>
      <w:r w:rsidR="00413873">
        <w:t xml:space="preserve"> know </w:t>
      </w:r>
      <w:r>
        <w:t>that some insurers are offering third party public liability insurance for wheelchair power attachments with top speeds above 8mph –though these devices are not legal for public spaces use</w:t>
      </w:r>
      <w:r w:rsidR="00462508">
        <w:t xml:space="preserve"> (unless they are registered and insured as motor vehicles</w:t>
      </w:r>
      <w:r w:rsidR="00E5726F">
        <w:t xml:space="preserve"> for on-road use only</w:t>
      </w:r>
      <w:r w:rsidR="00462508">
        <w:t>)</w:t>
      </w:r>
      <w:r>
        <w:t xml:space="preserve">. We suspect that if an incident occurred, people </w:t>
      </w:r>
      <w:r w:rsidR="00797054">
        <w:t>who’ve been careful to insure themselves</w:t>
      </w:r>
      <w:r>
        <w:t xml:space="preserve"> could find their policies are not valid. </w:t>
      </w:r>
    </w:p>
    <w:p w14:paraId="2A7F7189" w14:textId="3630D6F2" w:rsidR="004124CD" w:rsidRDefault="00514EA8" w:rsidP="003045D1">
      <w:pPr>
        <w:pStyle w:val="Heading3"/>
      </w:pPr>
      <w:r>
        <w:t xml:space="preserve">Both </w:t>
      </w:r>
      <w:r w:rsidR="003045D1">
        <w:t>“</w:t>
      </w:r>
      <w:r w:rsidR="004124CD">
        <w:t>G</w:t>
      </w:r>
      <w:r w:rsidR="003045D1">
        <w:t>rey areas” in rules and clear bans</w:t>
      </w:r>
      <w:r w:rsidR="004124CD">
        <w:t xml:space="preserve"> cause inaccessibility and discrimination</w:t>
      </w:r>
    </w:p>
    <w:p w14:paraId="60012617" w14:textId="53A16CA3" w:rsidR="004124CD" w:rsidRDefault="004124CD" w:rsidP="00A47954">
      <w:pPr>
        <w:pStyle w:val="Quote"/>
      </w:pPr>
      <w:r>
        <w:t>“</w:t>
      </w:r>
      <w:r w:rsidR="007E61A7">
        <w:t xml:space="preserve">You can’t </w:t>
      </w:r>
      <w:r w:rsidR="009C3403">
        <w:t>bring</w:t>
      </w:r>
      <w:r w:rsidR="007E61A7">
        <w:t xml:space="preserve"> that </w:t>
      </w:r>
      <w:r w:rsidR="009C3403">
        <w:t xml:space="preserve">in </w:t>
      </w:r>
      <w:r w:rsidR="007E61A7">
        <w:t>here!</w:t>
      </w:r>
      <w:r>
        <w:t>”</w:t>
      </w:r>
    </w:p>
    <w:p w14:paraId="00F902F4" w14:textId="371F3AA4" w:rsidR="004124CD" w:rsidRDefault="009C3403" w:rsidP="004124CD">
      <w:r>
        <w:t>Disabled people</w:t>
      </w:r>
      <w:r w:rsidR="006D3244">
        <w:t xml:space="preserve"> are being refused access to public transport, public services and maintenance support such as puncture repairs</w:t>
      </w:r>
      <w:r w:rsidR="00843A0F">
        <w:t xml:space="preserve">, with staff typically stating that </w:t>
      </w:r>
      <w:r w:rsidR="00EC6276">
        <w:t xml:space="preserve">they </w:t>
      </w:r>
      <w:r w:rsidR="008C50E4">
        <w:t>are afraid of potential consequences of allowing people using safe and legal devices to use their services</w:t>
      </w:r>
      <w:r w:rsidR="00EC6276">
        <w:t>.</w:t>
      </w:r>
      <w:r w:rsidR="004C7811">
        <w:t xml:space="preserve"> Public transport companies have only ever allowed a very limited range of mobility devices onto their services, and unclear regulations are making an already bad situation worse.</w:t>
      </w:r>
    </w:p>
    <w:p w14:paraId="0A50DF49" w14:textId="698A31E3" w:rsidR="006D3244" w:rsidRPr="004124CD" w:rsidRDefault="006D3244" w:rsidP="004124CD">
      <w:r>
        <w:t>Without clear</w:t>
      </w:r>
      <w:r w:rsidR="009C3403">
        <w:t xml:space="preserve"> </w:t>
      </w:r>
      <w:r>
        <w:t>rules, challenging discrimination is made much more difficult</w:t>
      </w:r>
      <w:r w:rsidR="006A0876">
        <w:t>.</w:t>
      </w:r>
      <w:r>
        <w:t xml:space="preserve"> Disabled people </w:t>
      </w:r>
      <w:r w:rsidR="006A0876">
        <w:t xml:space="preserve">are put </w:t>
      </w:r>
      <w:r>
        <w:t>at increased risk of</w:t>
      </w:r>
      <w:r w:rsidR="006A0876">
        <w:t xml:space="preserve"> harassment, abuse, and</w:t>
      </w:r>
      <w:r>
        <w:t xml:space="preserve"> being unable to get to the places we need to go.</w:t>
      </w:r>
    </w:p>
    <w:p w14:paraId="19C9D9C2" w14:textId="7CD1C97E" w:rsidR="003045D1" w:rsidRDefault="004124CD" w:rsidP="003045D1">
      <w:pPr>
        <w:pStyle w:val="Heading3"/>
      </w:pPr>
      <w:r>
        <w:t>“Grey areas” in rules and clear bans stop new devices from being developed</w:t>
      </w:r>
      <w:r w:rsidR="00EC1382">
        <w:t xml:space="preserve"> and sold</w:t>
      </w:r>
    </w:p>
    <w:p w14:paraId="70EBA667" w14:textId="61D86DBB" w:rsidR="004124CD" w:rsidRPr="004124CD" w:rsidRDefault="00EC1382" w:rsidP="004124CD">
      <w:r>
        <w:t xml:space="preserve">We’ve explained in other documents how </w:t>
      </w:r>
      <w:hyperlink r:id="rId11" w:history="1">
        <w:r w:rsidRPr="00EC1382">
          <w:rPr>
            <w:rStyle w:val="Hyperlink"/>
          </w:rPr>
          <w:t>tandem mobility scooters</w:t>
        </w:r>
      </w:hyperlink>
      <w:r>
        <w:t xml:space="preserve"> and </w:t>
      </w:r>
      <w:hyperlink r:id="rId12" w:history="1">
        <w:r w:rsidRPr="00EC1382">
          <w:rPr>
            <w:rStyle w:val="Hyperlink"/>
          </w:rPr>
          <w:t>aids or attachments comparable to prams and pushchairs</w:t>
        </w:r>
      </w:hyperlink>
      <w:r>
        <w:t xml:space="preserve"> are currently either not allowed to be used in public </w:t>
      </w:r>
      <w:r>
        <w:lastRenderedPageBreak/>
        <w:t>spaces, or at best exist in a very grey area of regulations – even when these devices are thoroughly safety tested and are legal in other places.</w:t>
      </w:r>
    </w:p>
    <w:p w14:paraId="3A1F8D9F" w14:textId="23F286D5" w:rsidR="007443EC" w:rsidRPr="007443EC" w:rsidRDefault="00EC1382" w:rsidP="007443EC">
      <w:r>
        <w:t xml:space="preserve">The laws against multi-person “invalid carriages” and against trailers on invalid carriages mean that there are no commercially-available products in the UK to allow </w:t>
      </w:r>
      <w:r w:rsidR="006E0C50">
        <w:t xml:space="preserve">mobility aid-using </w:t>
      </w:r>
      <w:r>
        <w:t xml:space="preserve">parents/carers to transport children. This </w:t>
      </w:r>
      <w:r w:rsidR="006E0C50">
        <w:t>leaves</w:t>
      </w:r>
      <w:r>
        <w:t xml:space="preserve"> </w:t>
      </w:r>
      <w:r w:rsidR="00E5726F">
        <w:t xml:space="preserve">many </w:t>
      </w:r>
      <w:r>
        <w:t xml:space="preserve">Disabled parents/carers unable to leave home with their children without </w:t>
      </w:r>
      <w:r w:rsidR="00E5726F">
        <w:t xml:space="preserve">finding </w:t>
      </w:r>
      <w:r>
        <w:t xml:space="preserve">another adult to assist them. </w:t>
      </w:r>
      <w:r w:rsidR="004C7811">
        <w:t>Tandem devices are especially important for older people, especially couples where both have mobility impairments and one can’t control an aid due to visual or cognitive impairments. But few are available</w:t>
      </w:r>
      <w:r>
        <w:t xml:space="preserve"> because</w:t>
      </w:r>
      <w:r w:rsidR="006E0C50">
        <w:t>,</w:t>
      </w:r>
      <w:r>
        <w:t xml:space="preserve"> again, </w:t>
      </w:r>
      <w:r w:rsidR="006E0C50">
        <w:t>they aren’t</w:t>
      </w:r>
      <w:r>
        <w:t xml:space="preserve"> legal in public spaces</w:t>
      </w:r>
      <w:r w:rsidR="004C7811">
        <w:t>. T</w:t>
      </w:r>
      <w:r w:rsidR="00E5726F">
        <w:t xml:space="preserve">here are no devices which Disabled people can connect together to allow one person to support another on difficult sections of journeys, </w:t>
      </w:r>
      <w:r w:rsidR="0033059C">
        <w:t>comparable</w:t>
      </w:r>
      <w:r w:rsidR="00E5726F">
        <w:t xml:space="preserve"> to child cycle towbars</w:t>
      </w:r>
      <w:r>
        <w:t>.</w:t>
      </w:r>
    </w:p>
    <w:p w14:paraId="51B95376" w14:textId="59CEA322" w:rsidR="00C708A2" w:rsidRPr="00C708A2" w:rsidRDefault="004124CD" w:rsidP="00C708A2">
      <w:pPr>
        <w:pStyle w:val="Heading3"/>
      </w:pPr>
      <w:r>
        <w:t xml:space="preserve">Hidden product standards </w:t>
      </w:r>
      <w:r w:rsidR="00980155">
        <w:t xml:space="preserve">prevent Disabled people from finding out how their devices should perform – and prevent people challenging poor </w:t>
      </w:r>
      <w:r w:rsidR="00972A4F">
        <w:t>performance</w:t>
      </w:r>
    </w:p>
    <w:p w14:paraId="3F3763C0" w14:textId="5C63A5E2" w:rsidR="00C708A2" w:rsidRDefault="00980155" w:rsidP="00C708A2">
      <w:r>
        <w:t xml:space="preserve">Mobility aids sold by reputable retailers or provided by the NHS are typically certified to relevant British Standards. British Standards </w:t>
      </w:r>
      <w:r w:rsidR="00AF684B">
        <w:t xml:space="preserve">also </w:t>
      </w:r>
      <w:r>
        <w:t>apply to cycles and other powered devices such as e-scooters.</w:t>
      </w:r>
    </w:p>
    <w:p w14:paraId="121CDAAF" w14:textId="68D69AE9" w:rsidR="004C7811" w:rsidRDefault="006E0C50" w:rsidP="00C708A2">
      <w:r>
        <w:t>A certified aid must meet</w:t>
      </w:r>
      <w:r w:rsidR="00980155">
        <w:t xml:space="preserve"> multiple standards – </w:t>
      </w:r>
      <w:r w:rsidR="00151F0F">
        <w:t>but the standards are each</w:t>
      </w:r>
      <w:r w:rsidR="00980155">
        <w:t xml:space="preserve"> expensive to access. For example, the main British Standard for powered wheelchairs and mobility scooters is BS EN 12184:2022. This presently costs £488 on the BSI site.</w:t>
      </w:r>
      <w:r w:rsidR="00980155">
        <w:rPr>
          <w:rStyle w:val="EndnoteReference"/>
        </w:rPr>
        <w:endnoteReference w:id="5"/>
      </w:r>
      <w:r w:rsidR="00980155">
        <w:t xml:space="preserve"> </w:t>
      </w:r>
      <w:r w:rsidR="001A2274">
        <w:t>We have found these standards are typically not available from library services.</w:t>
      </w:r>
      <w:r w:rsidR="00980155">
        <w:t xml:space="preserve"> </w:t>
      </w:r>
      <w:r w:rsidR="001A2274">
        <w:t>I</w:t>
      </w:r>
      <w:r w:rsidR="00980155">
        <w:t xml:space="preserve">f </w:t>
      </w:r>
      <w:r w:rsidR="00972A4F">
        <w:t xml:space="preserve">you can access </w:t>
      </w:r>
      <w:r w:rsidR="00980155">
        <w:t>this standard, you’ll discover that you need to buy many more standards</w:t>
      </w:r>
      <w:r w:rsidR="00972A4F">
        <w:t xml:space="preserve"> to find out how your</w:t>
      </w:r>
      <w:r w:rsidR="00980155">
        <w:t xml:space="preserve"> </w:t>
      </w:r>
      <w:r w:rsidR="00972A4F">
        <w:t>device should actually work – such as whether you should be able to use it in rainy weather or go through puddles</w:t>
      </w:r>
      <w:r w:rsidR="00980155">
        <w:t>.</w:t>
      </w:r>
      <w:r w:rsidR="00972A4F">
        <w:rPr>
          <w:rStyle w:val="EndnoteReference"/>
        </w:rPr>
        <w:endnoteReference w:id="6"/>
      </w:r>
      <w:r w:rsidR="00980155">
        <w:t xml:space="preserve"> </w:t>
      </w:r>
    </w:p>
    <w:p w14:paraId="5203A13B" w14:textId="3D295206" w:rsidR="00C708A2" w:rsidRDefault="00514EA8" w:rsidP="004C7811">
      <w:pPr>
        <w:pStyle w:val="Quote"/>
      </w:pPr>
      <w:r w:rsidRPr="00514EA8">
        <w:rPr>
          <w:b/>
        </w:rPr>
        <w:t>In fact:</w:t>
      </w:r>
      <w:r>
        <w:t xml:space="preserve"> </w:t>
      </w:r>
      <w:r w:rsidR="004C7811">
        <w:t>C</w:t>
      </w:r>
      <w:r w:rsidR="00972A4F">
        <w:t xml:space="preserve">urrent power wheelchair and mobility scooter standards </w:t>
      </w:r>
      <w:r w:rsidR="00151F0F">
        <w:t xml:space="preserve">only require </w:t>
      </w:r>
      <w:r w:rsidR="004C7811">
        <w:t>devices to be tested in</w:t>
      </w:r>
      <w:r w:rsidR="00151F0F">
        <w:t xml:space="preserve"> light showers of water</w:t>
      </w:r>
      <w:r w:rsidR="004C7811">
        <w:t>. U</w:t>
      </w:r>
      <w:r w:rsidR="00151F0F">
        <w:t>nlike</w:t>
      </w:r>
      <w:r w:rsidR="00972A4F">
        <w:t xml:space="preserve"> comparable e-cycles and e-scooters</w:t>
      </w:r>
      <w:r w:rsidR="007E61A7">
        <w:t>, let alone electric cars</w:t>
      </w:r>
      <w:r w:rsidR="00972A4F">
        <w:t>, manufacturers</w:t>
      </w:r>
      <w:r w:rsidR="007E61A7">
        <w:t xml:space="preserve"> and suppliers</w:t>
      </w:r>
      <w:r w:rsidR="004C7811">
        <w:t xml:space="preserve"> of mobility aids</w:t>
      </w:r>
      <w:r w:rsidR="00972A4F">
        <w:t xml:space="preserve"> typically advise that their </w:t>
      </w:r>
      <w:r w:rsidR="00151F0F">
        <w:t xml:space="preserve">British Standards-compliant </w:t>
      </w:r>
      <w:r w:rsidR="00972A4F">
        <w:t>powerchairs and mobility scooters shouldn’t be used in more than light rain,</w:t>
      </w:r>
      <w:r w:rsidR="007E61A7">
        <w:t xml:space="preserve"> shouldn’t be driven through puddles,</w:t>
      </w:r>
      <w:r w:rsidR="00972A4F">
        <w:t xml:space="preserve"> and should be dried carefully if they get wet.</w:t>
      </w:r>
      <w:r w:rsidR="00972A4F">
        <w:rPr>
          <w:rStyle w:val="EndnoteReference"/>
        </w:rPr>
        <w:endnoteReference w:id="7"/>
      </w:r>
    </w:p>
    <w:p w14:paraId="79CF62E9" w14:textId="3A1085FC" w:rsidR="00972A4F" w:rsidRPr="00C708A2" w:rsidRDefault="00972A4F" w:rsidP="00C708A2">
      <w:r>
        <w:t>We think that minimum requirements for basic functions like braking, lights, weatherproofing and stability should all be publicly available. Current e-scooter trial requirements for braking and stability provide a good example of how this can be done.</w:t>
      </w:r>
      <w:r>
        <w:rPr>
          <w:rStyle w:val="EndnoteReference"/>
        </w:rPr>
        <w:endnoteReference w:id="8"/>
      </w:r>
    </w:p>
    <w:p w14:paraId="6D0E3A12" w14:textId="3323C932" w:rsidR="002D0489" w:rsidRDefault="002447F6" w:rsidP="002D0489">
      <w:pPr>
        <w:pStyle w:val="Heading2"/>
        <w:rPr>
          <w:lang w:val="en-US"/>
        </w:rPr>
      </w:pPr>
      <w:r>
        <w:rPr>
          <w:lang w:val="en-US"/>
        </w:rPr>
        <w:t xml:space="preserve">What </w:t>
      </w:r>
      <w:r w:rsidR="004124CD">
        <w:rPr>
          <w:lang w:val="en-US"/>
        </w:rPr>
        <w:t xml:space="preserve">legal </w:t>
      </w:r>
      <w:r w:rsidR="00510CD0">
        <w:rPr>
          <w:lang w:val="en-US"/>
        </w:rPr>
        <w:t>changes do we need</w:t>
      </w:r>
      <w:r>
        <w:rPr>
          <w:lang w:val="en-US"/>
        </w:rPr>
        <w:t>?</w:t>
      </w:r>
    </w:p>
    <w:p w14:paraId="3249F290" w14:textId="6D0C6CE3" w:rsidR="0018658F" w:rsidRPr="0018658F" w:rsidRDefault="0018658F" w:rsidP="0018658F">
      <w:pPr>
        <w:rPr>
          <w:lang w:val="en-US"/>
        </w:rPr>
      </w:pPr>
      <w:bookmarkStart w:id="1" w:name="_Hlk219210030"/>
      <w:r>
        <w:rPr>
          <w:lang w:val="en-US"/>
        </w:rPr>
        <w:t xml:space="preserve">A small number of legal changes </w:t>
      </w:r>
      <w:r w:rsidR="00B11BCF">
        <w:rPr>
          <w:lang w:val="en-US"/>
        </w:rPr>
        <w:t>would</w:t>
      </w:r>
      <w:r>
        <w:rPr>
          <w:lang w:val="en-US"/>
        </w:rPr>
        <w:t xml:space="preserve"> make big differences to different accessible mobility options for a lot of different people. You may notice that this legal changes section is similar in some of the other case studies in this series!</w:t>
      </w:r>
    </w:p>
    <w:bookmarkEnd w:id="1"/>
    <w:p w14:paraId="27A4635B" w14:textId="16C8095A" w:rsidR="006305C9" w:rsidRDefault="00824915" w:rsidP="003F1D0B">
      <w:pPr>
        <w:rPr>
          <w:b/>
          <w:lang w:val="en-US"/>
        </w:rPr>
      </w:pPr>
      <w:r w:rsidRPr="00462A55">
        <w:rPr>
          <w:b/>
          <w:lang w:val="en-US"/>
        </w:rPr>
        <w:t>We want new mobility aid laws to be fit for purpose, fair and future-proofed.</w:t>
      </w:r>
      <w:r>
        <w:rPr>
          <w:b/>
          <w:lang w:val="en-US"/>
        </w:rPr>
        <w:t xml:space="preserve"> </w:t>
      </w:r>
    </w:p>
    <w:p w14:paraId="7B7996F3" w14:textId="77777777" w:rsidR="001E1F18" w:rsidRDefault="006C1004" w:rsidP="00774D3C">
      <w:pPr>
        <w:pStyle w:val="ListParagraph"/>
        <w:numPr>
          <w:ilvl w:val="0"/>
          <w:numId w:val="21"/>
        </w:numPr>
        <w:rPr>
          <w:lang w:val="en-US"/>
        </w:rPr>
      </w:pPr>
      <w:r>
        <w:rPr>
          <w:lang w:val="en-US"/>
        </w:rPr>
        <w:t>Mobility aid regulations must articulate and facilitate Disabled people’s right to equal pedestrian, cycling and cycling-equivalent mobility</w:t>
      </w:r>
      <w:r w:rsidR="001E1F18">
        <w:rPr>
          <w:lang w:val="en-US"/>
        </w:rPr>
        <w:t>, including</w:t>
      </w:r>
    </w:p>
    <w:p w14:paraId="6460B7C2" w14:textId="3A602C7C" w:rsidR="006C1004" w:rsidRDefault="001E1F18" w:rsidP="001E1F18">
      <w:pPr>
        <w:pStyle w:val="ListParagraph"/>
        <w:numPr>
          <w:ilvl w:val="1"/>
          <w:numId w:val="21"/>
        </w:numPr>
        <w:rPr>
          <w:lang w:val="en-US"/>
        </w:rPr>
      </w:pPr>
      <w:r>
        <w:rPr>
          <w:lang w:val="en-US"/>
        </w:rPr>
        <w:lastRenderedPageBreak/>
        <w:t>explicitly providing the right to use a wide range of unpowered, e-assist and fully powered devices as mobility aids for pedestrian movement in pedestrian spaces</w:t>
      </w:r>
      <w:r w:rsidR="006C1004">
        <w:rPr>
          <w:lang w:val="en-US"/>
        </w:rPr>
        <w:t>.</w:t>
      </w:r>
    </w:p>
    <w:p w14:paraId="31326753" w14:textId="7C519D5B" w:rsidR="001E1F18" w:rsidRDefault="001E1F18" w:rsidP="001E1F18">
      <w:pPr>
        <w:pStyle w:val="ListParagraph"/>
        <w:numPr>
          <w:ilvl w:val="1"/>
          <w:numId w:val="21"/>
        </w:numPr>
        <w:rPr>
          <w:lang w:val="en-US"/>
        </w:rPr>
      </w:pPr>
      <w:r>
        <w:rPr>
          <w:lang w:val="en-US"/>
        </w:rPr>
        <w:t>Explicitly providing the right for Disabled people to use a wide range of unpowered, e-assist and fully powered devices for cycling and cycling-equivalent movement in cycle-permitted spaces.</w:t>
      </w:r>
    </w:p>
    <w:p w14:paraId="0B534AA5" w14:textId="1D1E379F" w:rsidR="00F06D9F" w:rsidRDefault="006C1004" w:rsidP="00774D3C">
      <w:pPr>
        <w:pStyle w:val="ListParagraph"/>
        <w:numPr>
          <w:ilvl w:val="0"/>
          <w:numId w:val="21"/>
        </w:numPr>
        <w:rPr>
          <w:lang w:val="en-US"/>
        </w:rPr>
      </w:pPr>
      <w:r>
        <w:rPr>
          <w:lang w:val="en-US"/>
        </w:rPr>
        <w:t xml:space="preserve">Mobility aid regulations must be worded in plain English, with accessible and translated versions </w:t>
      </w:r>
      <w:r w:rsidR="00EF1DD3">
        <w:rPr>
          <w:lang w:val="en-US"/>
        </w:rPr>
        <w:t xml:space="preserve">including BSL, Easy-Read, Welsh and other languages commonly spoken in the UK </w:t>
      </w:r>
      <w:r>
        <w:rPr>
          <w:lang w:val="en-US"/>
        </w:rPr>
        <w:t>available alongside the primary version.</w:t>
      </w:r>
    </w:p>
    <w:p w14:paraId="78DB5D70" w14:textId="4B6D718E" w:rsidR="00F06D9F" w:rsidRDefault="006C1004" w:rsidP="00774D3C">
      <w:pPr>
        <w:pStyle w:val="ListParagraph"/>
        <w:numPr>
          <w:ilvl w:val="0"/>
          <w:numId w:val="21"/>
        </w:numPr>
        <w:rPr>
          <w:lang w:val="en-US"/>
        </w:rPr>
      </w:pPr>
      <w:r>
        <w:rPr>
          <w:lang w:val="en-US"/>
        </w:rPr>
        <w:t>If laws refer to other documents such as product standards, the other documents must be freely available, including in accessible formats.</w:t>
      </w:r>
    </w:p>
    <w:p w14:paraId="327B4715" w14:textId="12E07C2A" w:rsidR="00774D3C" w:rsidRPr="00774D3C" w:rsidRDefault="006C1004" w:rsidP="00774D3C">
      <w:pPr>
        <w:pStyle w:val="ListParagraph"/>
        <w:numPr>
          <w:ilvl w:val="0"/>
          <w:numId w:val="21"/>
        </w:numPr>
        <w:rPr>
          <w:lang w:val="en-US"/>
        </w:rPr>
      </w:pPr>
      <w:r>
        <w:rPr>
          <w:lang w:val="en-US"/>
        </w:rPr>
        <w:t>There must be a single, government-provided, accurate guidance document that explains all rules affecting the function and use of mobility aids that are legal to use in public spaces</w:t>
      </w:r>
      <w:r w:rsidR="00774D3C" w:rsidRPr="00774D3C">
        <w:rPr>
          <w:lang w:val="en-US"/>
        </w:rPr>
        <w:t>.</w:t>
      </w:r>
    </w:p>
    <w:p w14:paraId="2A690F91" w14:textId="357FA365" w:rsidR="006C1004" w:rsidRDefault="00462A55" w:rsidP="002D0489">
      <w:pPr>
        <w:rPr>
          <w:b/>
          <w:lang w:val="en-US"/>
        </w:rPr>
      </w:pPr>
      <w:r>
        <w:rPr>
          <w:b/>
          <w:lang w:val="en-US"/>
        </w:rPr>
        <w:t xml:space="preserve">This isn’t radical </w:t>
      </w:r>
      <w:r w:rsidR="00B46656">
        <w:rPr>
          <w:b/>
          <w:lang w:val="en-US"/>
        </w:rPr>
        <w:t>–</w:t>
      </w:r>
      <w:r>
        <w:rPr>
          <w:b/>
          <w:lang w:val="en-US"/>
        </w:rPr>
        <w:t xml:space="preserve"> </w:t>
      </w:r>
      <w:r w:rsidR="00B46656">
        <w:rPr>
          <w:b/>
          <w:lang w:val="en-US"/>
        </w:rPr>
        <w:t xml:space="preserve">we </w:t>
      </w:r>
      <w:r w:rsidR="004124CD">
        <w:rPr>
          <w:b/>
          <w:lang w:val="en-US"/>
        </w:rPr>
        <w:t xml:space="preserve">just </w:t>
      </w:r>
      <w:r w:rsidR="005818CC">
        <w:rPr>
          <w:b/>
          <w:lang w:val="en-US"/>
        </w:rPr>
        <w:t>want</w:t>
      </w:r>
      <w:r w:rsidR="00FC0E2D">
        <w:rPr>
          <w:b/>
          <w:lang w:val="en-US"/>
        </w:rPr>
        <w:t xml:space="preserve"> </w:t>
      </w:r>
      <w:r w:rsidR="004124CD">
        <w:rPr>
          <w:b/>
          <w:lang w:val="en-US"/>
        </w:rPr>
        <w:t xml:space="preserve">all </w:t>
      </w:r>
      <w:r w:rsidR="005818CC">
        <w:rPr>
          <w:b/>
          <w:lang w:val="en-US"/>
        </w:rPr>
        <w:t xml:space="preserve">the </w:t>
      </w:r>
      <w:r w:rsidR="00FC0E2D">
        <w:rPr>
          <w:b/>
          <w:lang w:val="en-US"/>
        </w:rPr>
        <w:t>rules</w:t>
      </w:r>
      <w:r w:rsidR="002D0489" w:rsidRPr="00774D3C">
        <w:rPr>
          <w:b/>
          <w:lang w:val="en-US"/>
        </w:rPr>
        <w:t xml:space="preserve"> for </w:t>
      </w:r>
      <w:r w:rsidR="004124CD">
        <w:rPr>
          <w:b/>
          <w:lang w:val="en-US"/>
        </w:rPr>
        <w:t xml:space="preserve">how mobility aids should work and how they must be used to be </w:t>
      </w:r>
      <w:r w:rsidR="006C1004">
        <w:rPr>
          <w:b/>
          <w:lang w:val="en-US"/>
        </w:rPr>
        <w:t xml:space="preserve">future-proofed, fair and </w:t>
      </w:r>
      <w:r w:rsidR="004124CD">
        <w:rPr>
          <w:b/>
          <w:lang w:val="en-US"/>
        </w:rPr>
        <w:t>written out clearly so everyone can read them for free</w:t>
      </w:r>
      <w:r>
        <w:rPr>
          <w:b/>
          <w:lang w:val="en-US"/>
        </w:rPr>
        <w:t>!</w:t>
      </w:r>
    </w:p>
    <w:p w14:paraId="7CAC2969" w14:textId="55D61F0C" w:rsidR="006C1004" w:rsidRPr="006C1004" w:rsidRDefault="006C1004" w:rsidP="006C1004">
      <w:pPr>
        <w:pStyle w:val="ListParagraph"/>
        <w:numPr>
          <w:ilvl w:val="0"/>
          <w:numId w:val="25"/>
        </w:numPr>
        <w:rPr>
          <w:lang w:val="en-US"/>
        </w:rPr>
      </w:pPr>
      <w:r w:rsidRPr="006C1004">
        <w:rPr>
          <w:lang w:val="en-US"/>
        </w:rPr>
        <w:t>The Equality Act (2010) requires</w:t>
      </w:r>
      <w:r>
        <w:rPr>
          <w:lang w:val="en-US"/>
        </w:rPr>
        <w:t xml:space="preserve"> anticipatory reasonable adjustments to be made to provide Disabled people with equal access to non-disabled people, and requires public bodies to </w:t>
      </w:r>
      <w:r w:rsidR="001E1F18">
        <w:rPr>
          <w:lang w:val="en-US"/>
        </w:rPr>
        <w:t>advance equality of opportunity for Disabled people. To meet the requirements of the Equality Act, mobility aid regulations must enable mobility equality and must themselves be accessible.</w:t>
      </w:r>
      <w:r w:rsidR="007B0900">
        <w:rPr>
          <w:rStyle w:val="EndnoteReference"/>
          <w:lang w:val="en-US"/>
        </w:rPr>
        <w:endnoteReference w:id="9"/>
      </w:r>
    </w:p>
    <w:p w14:paraId="687A35A3" w14:textId="7110CCDE" w:rsidR="006C1004" w:rsidRPr="006C1004" w:rsidRDefault="006C1004" w:rsidP="006C1004">
      <w:pPr>
        <w:pStyle w:val="ListParagraph"/>
        <w:numPr>
          <w:ilvl w:val="0"/>
          <w:numId w:val="25"/>
        </w:numPr>
        <w:rPr>
          <w:lang w:val="en-US"/>
        </w:rPr>
      </w:pPr>
      <w:r w:rsidRPr="006C1004">
        <w:rPr>
          <w:lang w:val="en-US"/>
        </w:rPr>
        <w:t xml:space="preserve">The United Nations Convention on the Rights of Persons with Disabilities (UNCRPD) requires signatories, including the UK, </w:t>
      </w:r>
      <w:r w:rsidR="00BA508B">
        <w:rPr>
          <w:lang w:val="en-US"/>
        </w:rPr>
        <w:t>to facilitate “the personal mobility of persons with disabilities in the manner and at the time of their choice, and at affordable cost”.</w:t>
      </w:r>
      <w:r w:rsidR="007B0900">
        <w:rPr>
          <w:rStyle w:val="EndnoteReference"/>
          <w:lang w:val="en-US"/>
        </w:rPr>
        <w:endnoteReference w:id="10"/>
      </w:r>
    </w:p>
    <w:p w14:paraId="4F392C90" w14:textId="634F0F64" w:rsidR="00510CD0" w:rsidRDefault="00510CD0" w:rsidP="00510CD0">
      <w:pPr>
        <w:pStyle w:val="Heading2"/>
        <w:rPr>
          <w:rFonts w:eastAsia="Times New Roman"/>
        </w:rPr>
      </w:pPr>
      <w:r>
        <w:rPr>
          <w:rFonts w:eastAsia="Times New Roman"/>
        </w:rPr>
        <w:t>What you can do</w:t>
      </w:r>
    </w:p>
    <w:p w14:paraId="080FDE02" w14:textId="35F39CA5" w:rsidR="00B11BCF" w:rsidRPr="0018658F" w:rsidRDefault="00FC0E2D" w:rsidP="00FC0E2D">
      <w:pPr>
        <w:rPr>
          <w:rFonts w:eastAsia="Times New Roman"/>
        </w:rPr>
      </w:pPr>
      <w:bookmarkStart w:id="2" w:name="_Hlk219209952"/>
      <w:r w:rsidRPr="0018658F">
        <w:rPr>
          <w:rFonts w:eastAsia="Times New Roman"/>
        </w:rPr>
        <w:t xml:space="preserve">We want Disabled people to have the same </w:t>
      </w:r>
      <w:r w:rsidR="009C1D43" w:rsidRPr="0018658F">
        <w:rPr>
          <w:rFonts w:eastAsia="Times New Roman"/>
        </w:rPr>
        <w:t>journey-making</w:t>
      </w:r>
      <w:r w:rsidRPr="0018658F">
        <w:rPr>
          <w:rFonts w:eastAsia="Times New Roman"/>
        </w:rPr>
        <w:t xml:space="preserve"> choices as non-disabled people. For this to happen, we need the law to chang</w:t>
      </w:r>
      <w:r w:rsidR="00B11BCF">
        <w:rPr>
          <w:rFonts w:eastAsia="Times New Roman"/>
        </w:rPr>
        <w:t xml:space="preserve">e. The Department for Transport is running a </w:t>
      </w:r>
      <w:hyperlink r:id="rId13" w:history="1">
        <w:r w:rsidR="00783F52">
          <w:rPr>
            <w:rStyle w:val="Hyperlink"/>
            <w:rFonts w:eastAsia="Times New Roman"/>
          </w:rPr>
          <w:t>15-week consultation into changing mobility aid laws</w:t>
        </w:r>
      </w:hyperlink>
      <w:r w:rsidR="00B11BCF">
        <w:rPr>
          <w:rFonts w:eastAsia="Times New Roman"/>
        </w:rPr>
        <w:t xml:space="preserve">. </w:t>
      </w:r>
      <w:r w:rsidR="00B11BCF" w:rsidRPr="00B11BCF">
        <w:rPr>
          <w:lang w:val="en-US"/>
        </w:rPr>
        <w:t xml:space="preserve">The </w:t>
      </w:r>
      <w:r w:rsidR="00B11BCF">
        <w:rPr>
          <w:lang w:val="en-US"/>
        </w:rPr>
        <w:t>consultation deadline</w:t>
      </w:r>
      <w:r w:rsidR="00B11BCF" w:rsidRPr="00B11BCF">
        <w:rPr>
          <w:lang w:val="en-US"/>
        </w:rPr>
        <w:t xml:space="preserve"> is </w:t>
      </w:r>
      <w:r w:rsidR="00783F52">
        <w:rPr>
          <w:lang w:val="en-US"/>
        </w:rPr>
        <w:t>22</w:t>
      </w:r>
      <w:r w:rsidR="00783F52" w:rsidRPr="00783F52">
        <w:rPr>
          <w:vertAlign w:val="superscript"/>
          <w:lang w:val="en-US"/>
        </w:rPr>
        <w:t>nd</w:t>
      </w:r>
      <w:r w:rsidR="00783F52">
        <w:rPr>
          <w:lang w:val="en-US"/>
        </w:rPr>
        <w:t xml:space="preserve"> April 2026</w:t>
      </w:r>
      <w:r w:rsidR="00B11BCF" w:rsidRPr="00B11BCF">
        <w:rPr>
          <w:lang w:val="en-US"/>
        </w:rPr>
        <w:t>.</w:t>
      </w:r>
    </w:p>
    <w:p w14:paraId="6A15D4C5" w14:textId="71A6FEE7" w:rsidR="005818CC" w:rsidRPr="0018658F" w:rsidRDefault="00B46656" w:rsidP="00824915">
      <w:pPr>
        <w:rPr>
          <w:rFonts w:eastAsia="Times New Roman"/>
          <w:b/>
        </w:rPr>
      </w:pPr>
      <w:r w:rsidRPr="0018658F">
        <w:rPr>
          <w:rFonts w:eastAsia="Times New Roman"/>
          <w:b/>
        </w:rPr>
        <w:t xml:space="preserve">You can help </w:t>
      </w:r>
      <w:r w:rsidR="00B11BCF">
        <w:rPr>
          <w:rFonts w:eastAsia="Times New Roman"/>
          <w:b/>
        </w:rPr>
        <w:t>make changes to improve mobility options for all Disabled people</w:t>
      </w:r>
      <w:r w:rsidR="005818CC" w:rsidRPr="0018658F">
        <w:rPr>
          <w:rFonts w:eastAsia="Times New Roman"/>
          <w:b/>
        </w:rPr>
        <w:t>:</w:t>
      </w:r>
      <w:r w:rsidRPr="0018658F">
        <w:rPr>
          <w:rFonts w:eastAsia="Times New Roman"/>
          <w:b/>
        </w:rPr>
        <w:t xml:space="preserve"> </w:t>
      </w:r>
    </w:p>
    <w:p w14:paraId="0E422BA4" w14:textId="2C7F47E3" w:rsidR="0018658F" w:rsidRPr="0018658F" w:rsidRDefault="006119C7" w:rsidP="0018658F">
      <w:pPr>
        <w:pStyle w:val="ListParagraph"/>
        <w:numPr>
          <w:ilvl w:val="0"/>
          <w:numId w:val="22"/>
        </w:numPr>
        <w:rPr>
          <w:rFonts w:eastAsia="Times New Roman"/>
        </w:rPr>
      </w:pPr>
      <w:r w:rsidRPr="006119C7">
        <w:rPr>
          <w:rFonts w:eastAsia="Times New Roman"/>
          <w:b/>
        </w:rPr>
        <w:t>Read</w:t>
      </w:r>
      <w:r w:rsidR="0018658F" w:rsidRPr="006119C7">
        <w:rPr>
          <w:rFonts w:eastAsia="Times New Roman"/>
          <w:b/>
        </w:rPr>
        <w:t xml:space="preserve"> our explainers and recommendations. </w:t>
      </w:r>
      <w:r w:rsidRPr="006119C7">
        <w:rPr>
          <w:rFonts w:eastAsia="Times New Roman"/>
          <w:b/>
        </w:rPr>
        <w:t xml:space="preserve">These should all be released by </w:t>
      </w:r>
      <w:proofErr w:type="spellStart"/>
      <w:r w:rsidRPr="006119C7">
        <w:rPr>
          <w:rFonts w:eastAsia="Times New Roman"/>
          <w:b/>
        </w:rPr>
        <w:t>mid February</w:t>
      </w:r>
      <w:proofErr w:type="spellEnd"/>
      <w:r w:rsidRPr="006119C7">
        <w:rPr>
          <w:rFonts w:eastAsia="Times New Roman"/>
          <w:b/>
        </w:rPr>
        <w:t xml:space="preserve"> 2026.</w:t>
      </w:r>
      <w:r>
        <w:rPr>
          <w:rFonts w:eastAsia="Times New Roman"/>
        </w:rPr>
        <w:t xml:space="preserve"> </w:t>
      </w:r>
      <w:r w:rsidR="0018658F" w:rsidRPr="0018658F">
        <w:rPr>
          <w:lang w:val="en-US"/>
        </w:rPr>
        <w:t xml:space="preserve">We are concerned </w:t>
      </w:r>
      <w:r>
        <w:rPr>
          <w:lang w:val="en-US"/>
        </w:rPr>
        <w:t>about some o</w:t>
      </w:r>
      <w:r w:rsidR="0018658F">
        <w:rPr>
          <w:lang w:val="en-US"/>
        </w:rPr>
        <w:t>f the consultation wording and a lack of information on current laws in the consultation document</w:t>
      </w:r>
      <w:r>
        <w:rPr>
          <w:lang w:val="en-US"/>
        </w:rPr>
        <w:t>. Without our extra information, case studies and links to other sources,</w:t>
      </w:r>
      <w:r w:rsidR="0018658F">
        <w:rPr>
          <w:lang w:val="en-US"/>
        </w:rPr>
        <w:t xml:space="preserve"> </w:t>
      </w:r>
      <w:r>
        <w:rPr>
          <w:lang w:val="en-US"/>
        </w:rPr>
        <w:t>we’re worried</w:t>
      </w:r>
      <w:r w:rsidR="0018658F">
        <w:rPr>
          <w:lang w:val="en-US"/>
        </w:rPr>
        <w:t xml:space="preserve"> people could accidentally give answers that will cause problems for themselves or others.</w:t>
      </w:r>
    </w:p>
    <w:p w14:paraId="6F38FC50" w14:textId="2B2AF3E5" w:rsidR="00824915" w:rsidRPr="00B11BCF" w:rsidRDefault="006119C7" w:rsidP="0018658F">
      <w:pPr>
        <w:pStyle w:val="ListParagraph"/>
        <w:numPr>
          <w:ilvl w:val="0"/>
          <w:numId w:val="22"/>
        </w:numPr>
        <w:rPr>
          <w:lang w:val="en-US"/>
        </w:rPr>
      </w:pPr>
      <w:r w:rsidRPr="00B11BCF">
        <w:rPr>
          <w:rFonts w:eastAsia="Times New Roman"/>
          <w:b/>
        </w:rPr>
        <w:t>Once you’ve read and considered our explainers and recommendations</w:t>
      </w:r>
      <w:r w:rsidR="0018658F" w:rsidRPr="00B11BCF">
        <w:rPr>
          <w:rFonts w:eastAsia="Times New Roman"/>
          <w:b/>
        </w:rPr>
        <w:t xml:space="preserve">, please respond </w:t>
      </w:r>
      <w:r w:rsidR="00B46656" w:rsidRPr="00B11BCF">
        <w:rPr>
          <w:rFonts w:eastAsia="Times New Roman"/>
          <w:b/>
        </w:rPr>
        <w:t xml:space="preserve">to the </w:t>
      </w:r>
      <w:hyperlink r:id="rId14" w:history="1">
        <w:r w:rsidR="00B11BCF">
          <w:rPr>
            <w:rStyle w:val="Hyperlink"/>
            <w:b/>
            <w:lang w:val="en-US"/>
          </w:rPr>
          <w:t>Department for Transport’s consultation</w:t>
        </w:r>
      </w:hyperlink>
      <w:r w:rsidR="00824915" w:rsidRPr="00B11BCF">
        <w:rPr>
          <w:b/>
          <w:lang w:val="en-US"/>
        </w:rPr>
        <w:t>.</w:t>
      </w:r>
      <w:r w:rsidR="00824915" w:rsidRPr="0018658F">
        <w:rPr>
          <w:lang w:val="en-US"/>
        </w:rPr>
        <w:t xml:space="preserve"> </w:t>
      </w:r>
    </w:p>
    <w:p w14:paraId="78348A63" w14:textId="15A54465" w:rsidR="00824915" w:rsidRDefault="00824915" w:rsidP="005818CC">
      <w:pPr>
        <w:pStyle w:val="Quote"/>
        <w:spacing w:before="120" w:after="120"/>
        <w:rPr>
          <w:lang w:val="en-US"/>
        </w:rPr>
      </w:pPr>
      <w:r>
        <w:rPr>
          <w:lang w:val="en-US"/>
        </w:rPr>
        <w:lastRenderedPageBreak/>
        <w:t>The information in this sheet</w:t>
      </w:r>
      <w:r w:rsidRPr="00824915">
        <w:rPr>
          <w:lang w:val="en-US"/>
        </w:rPr>
        <w:t xml:space="preserve"> </w:t>
      </w:r>
      <w:r>
        <w:rPr>
          <w:lang w:val="en-US"/>
        </w:rPr>
        <w:t>directly links to</w:t>
      </w:r>
      <w:r w:rsidRPr="00824915">
        <w:rPr>
          <w:lang w:val="en-US"/>
        </w:rPr>
        <w:t xml:space="preserve"> consultation questions 20, 21 and 22, and indirectly </w:t>
      </w:r>
      <w:r>
        <w:rPr>
          <w:lang w:val="en-US"/>
        </w:rPr>
        <w:t>to</w:t>
      </w:r>
      <w:r w:rsidRPr="00824915">
        <w:rPr>
          <w:lang w:val="en-US"/>
        </w:rPr>
        <w:t xml:space="preserve"> a range of other questions</w:t>
      </w:r>
      <w:r>
        <w:rPr>
          <w:lang w:val="en-US"/>
        </w:rPr>
        <w:t>,</w:t>
      </w:r>
      <w:r w:rsidRPr="00824915">
        <w:rPr>
          <w:lang w:val="en-US"/>
        </w:rPr>
        <w:t xml:space="preserve"> including 10-13</w:t>
      </w:r>
      <w:r>
        <w:rPr>
          <w:lang w:val="en-US"/>
        </w:rPr>
        <w:t>.</w:t>
      </w:r>
    </w:p>
    <w:p w14:paraId="1990E37F" w14:textId="2EE2C17A" w:rsidR="00824915" w:rsidRPr="0018658F" w:rsidRDefault="00824915" w:rsidP="005818CC">
      <w:pPr>
        <w:pStyle w:val="Quote"/>
        <w:spacing w:before="120" w:after="120"/>
        <w:rPr>
          <w:b/>
          <w:lang w:val="en-US"/>
        </w:rPr>
      </w:pPr>
      <w:r w:rsidRPr="0018658F">
        <w:rPr>
          <w:b/>
          <w:lang w:val="en-US"/>
        </w:rPr>
        <w:t xml:space="preserve">We are releasing </w:t>
      </w:r>
      <w:hyperlink r:id="rId15" w:history="1">
        <w:r w:rsidRPr="0018658F">
          <w:rPr>
            <w:rStyle w:val="Hyperlink"/>
            <w:b/>
            <w:lang w:val="en-US"/>
          </w:rPr>
          <w:t>free resources about all areas of mobility aid regulations</w:t>
        </w:r>
      </w:hyperlink>
      <w:r w:rsidR="005818CC" w:rsidRPr="0018658F">
        <w:rPr>
          <w:b/>
          <w:lang w:val="en-US"/>
        </w:rPr>
        <w:t xml:space="preserve"> to cover all aspects of the consultation</w:t>
      </w:r>
      <w:r w:rsidR="0018658F" w:rsidRPr="0018658F">
        <w:rPr>
          <w:b/>
          <w:lang w:val="en-US"/>
        </w:rPr>
        <w:t xml:space="preserve"> as quickly as we can. </w:t>
      </w:r>
      <w:r w:rsidR="006119C7">
        <w:rPr>
          <w:b/>
          <w:lang w:val="en-US"/>
        </w:rPr>
        <w:t>Resources include written information, case studies, graphics, social media and webinars</w:t>
      </w:r>
      <w:r w:rsidR="0018658F" w:rsidRPr="0018658F">
        <w:rPr>
          <w:b/>
          <w:lang w:val="en-US"/>
        </w:rPr>
        <w:t>.</w:t>
      </w:r>
    </w:p>
    <w:p w14:paraId="102E36BF" w14:textId="3343B9B6" w:rsidR="00FC0E2D" w:rsidRDefault="00FC0E2D" w:rsidP="00FC0E2D">
      <w:pPr>
        <w:rPr>
          <w:rFonts w:eastAsia="Times New Roman"/>
        </w:rPr>
      </w:pPr>
      <w:r w:rsidRPr="00B216B5">
        <w:rPr>
          <w:rFonts w:eastAsia="Times New Roman"/>
          <w:b/>
        </w:rPr>
        <w:t>Follow all our information updates</w:t>
      </w:r>
      <w:r>
        <w:rPr>
          <w:rFonts w:eastAsia="Times New Roman"/>
        </w:rPr>
        <w:t xml:space="preserve"> and find out more about </w:t>
      </w:r>
      <w:r w:rsidR="00B216B5">
        <w:rPr>
          <w:rFonts w:eastAsia="Times New Roman"/>
        </w:rPr>
        <w:t xml:space="preserve">how </w:t>
      </w:r>
      <w:r>
        <w:rPr>
          <w:rFonts w:eastAsia="Times New Roman"/>
        </w:rPr>
        <w:t>changes to the law can improve mobility for Disabled people @WheelsForWellbeing on Bluesky, LinkedIn, Instagram and Facebook</w:t>
      </w:r>
      <w:r w:rsidR="00824915">
        <w:rPr>
          <w:rFonts w:eastAsia="Times New Roman"/>
        </w:rPr>
        <w:t>.</w:t>
      </w:r>
    </w:p>
    <w:p w14:paraId="53DDA392" w14:textId="686509B4" w:rsidR="000347B4" w:rsidRDefault="00B216B5" w:rsidP="00FC0E2D">
      <w:pPr>
        <w:rPr>
          <w:rFonts w:eastAsia="Times New Roman"/>
        </w:rPr>
      </w:pPr>
      <w:r w:rsidRPr="000347B4">
        <w:rPr>
          <w:rFonts w:eastAsia="Times New Roman"/>
          <w:b/>
        </w:rPr>
        <w:t>Contact us</w:t>
      </w:r>
      <w:r>
        <w:rPr>
          <w:rFonts w:eastAsia="Times New Roman"/>
        </w:rPr>
        <w:t xml:space="preserve"> with comments, questions and suggestions at </w:t>
      </w:r>
      <w:hyperlink r:id="rId16" w:history="1">
        <w:r w:rsidRPr="00E8660C">
          <w:rPr>
            <w:rStyle w:val="Hyperlink"/>
            <w:rFonts w:eastAsia="Times New Roman"/>
          </w:rPr>
          <w:t>info@wheelsforwellbeing.org</w:t>
        </w:r>
      </w:hyperlink>
      <w:r w:rsidR="000347B4">
        <w:rPr>
          <w:rFonts w:eastAsia="Times New Roman"/>
        </w:rPr>
        <w:t>.</w:t>
      </w:r>
    </w:p>
    <w:p w14:paraId="7702894C" w14:textId="77777777" w:rsidR="005818CC" w:rsidRDefault="000347B4" w:rsidP="00FC0E2D">
      <w:hyperlink r:id="rId17" w:history="1">
        <w:r w:rsidRPr="000347B4">
          <w:rPr>
            <w:rStyle w:val="Hyperlink"/>
            <w:rFonts w:eastAsia="Times New Roman"/>
            <w:b/>
          </w:rPr>
          <w:t>J</w:t>
        </w:r>
        <w:r w:rsidR="00B216B5" w:rsidRPr="000347B4">
          <w:rPr>
            <w:rStyle w:val="Hyperlink"/>
            <w:rFonts w:eastAsia="Times New Roman"/>
            <w:b/>
          </w:rPr>
          <w:t xml:space="preserve">oin our free peer-support campaigning </w:t>
        </w:r>
        <w:r>
          <w:rPr>
            <w:rStyle w:val="Hyperlink"/>
            <w:rFonts w:eastAsia="Times New Roman"/>
            <w:b/>
          </w:rPr>
          <w:t>forum</w:t>
        </w:r>
      </w:hyperlink>
      <w:r w:rsidR="00B216B5">
        <w:rPr>
          <w:rFonts w:eastAsia="Times New Roman"/>
        </w:rPr>
        <w:t xml:space="preserve"> for Disabled people and allies.</w:t>
      </w:r>
      <w:r w:rsidR="005818CC" w:rsidRPr="005818CC">
        <w:t xml:space="preserve"> </w:t>
      </w:r>
    </w:p>
    <w:p w14:paraId="3F3FC3DD" w14:textId="2612EE91" w:rsidR="00B216B5" w:rsidRDefault="005818CC" w:rsidP="00FC0E2D">
      <w:pPr>
        <w:rPr>
          <w:rFonts w:eastAsia="Times New Roman"/>
        </w:rPr>
      </w:pPr>
      <w:hyperlink r:id="rId18" w:history="1">
        <w:r w:rsidRPr="005818CC">
          <w:rPr>
            <w:rStyle w:val="Hyperlink"/>
            <w:rFonts w:eastAsia="Times New Roman"/>
            <w:b/>
          </w:rPr>
          <w:t xml:space="preserve">Sign up for our newsletter </w:t>
        </w:r>
        <w:r w:rsidRPr="00FC0E2D">
          <w:rPr>
            <w:rStyle w:val="Hyperlink"/>
            <w:rFonts w:eastAsia="Times New Roman"/>
          </w:rPr>
          <w:t>(bottom of page)</w:t>
        </w:r>
      </w:hyperlink>
    </w:p>
    <w:p w14:paraId="1F8DBF89" w14:textId="28648354" w:rsidR="004B521F" w:rsidRDefault="007767F7" w:rsidP="005818CC">
      <w:pPr>
        <w:pStyle w:val="IntenseQuote"/>
        <w:spacing w:before="120" w:after="120"/>
      </w:pPr>
      <w:r w:rsidRPr="004B521F">
        <w:t xml:space="preserve">Please </w:t>
      </w:r>
      <w:hyperlink r:id="rId19" w:history="1">
        <w:r w:rsidRPr="004B521F">
          <w:rPr>
            <w:rStyle w:val="Hyperlink"/>
            <w:rFonts w:eastAsia="Times New Roman"/>
            <w:b/>
          </w:rPr>
          <w:t>donate to support our work</w:t>
        </w:r>
      </w:hyperlink>
      <w:r w:rsidRPr="004B521F">
        <w:t xml:space="preserve"> if you </w:t>
      </w:r>
      <w:r w:rsidR="00B216B5">
        <w:t>can</w:t>
      </w:r>
      <w:r w:rsidRPr="004B521F">
        <w:t>:</w:t>
      </w:r>
      <w:r>
        <w:t xml:space="preserve"> </w:t>
      </w:r>
    </w:p>
    <w:p w14:paraId="2C4F2657" w14:textId="77777777" w:rsidR="006F39FB" w:rsidRDefault="00A81870" w:rsidP="005818CC">
      <w:pPr>
        <w:pStyle w:val="IntenseQuote"/>
        <w:spacing w:before="120" w:after="120"/>
      </w:pPr>
      <w:r>
        <w:t xml:space="preserve">Wheels for Wellbeing is </w:t>
      </w:r>
      <w:r w:rsidR="007767F7">
        <w:t xml:space="preserve">a small </w:t>
      </w:r>
      <w:r>
        <w:t xml:space="preserve">Disabled People’s Organisation – a </w:t>
      </w:r>
      <w:r w:rsidR="007767F7">
        <w:t>charity</w:t>
      </w:r>
      <w:r w:rsidR="004B521F">
        <w:t xml:space="preserve"> run by and for Disabled people. We </w:t>
      </w:r>
      <w:r w:rsidR="007767F7">
        <w:t xml:space="preserve">depend on donations </w:t>
      </w:r>
      <w:r>
        <w:t>for our campaigning work</w:t>
      </w:r>
      <w:r w:rsidR="006F39FB">
        <w:t>: very</w:t>
      </w:r>
      <w:r>
        <w:t xml:space="preserve"> few grants are available</w:t>
      </w:r>
      <w:r w:rsidR="006F39FB">
        <w:t xml:space="preserve"> for campaigning</w:t>
      </w:r>
      <w:r>
        <w:t xml:space="preserve">. </w:t>
      </w:r>
    </w:p>
    <w:p w14:paraId="4188846F" w14:textId="149DAFA4" w:rsidR="007767F7" w:rsidRDefault="00A81870" w:rsidP="005818CC">
      <w:pPr>
        <w:pStyle w:val="IntenseQuote"/>
        <w:spacing w:before="120" w:after="120"/>
      </w:pPr>
      <w:r>
        <w:t xml:space="preserve">Any </w:t>
      </w:r>
      <w:r w:rsidR="00B216B5">
        <w:t xml:space="preserve">donation you can make </w:t>
      </w:r>
      <w:r w:rsidR="005818CC">
        <w:t xml:space="preserve">helps </w:t>
      </w:r>
      <w:r>
        <w:t xml:space="preserve">us keep working to achieve mobility </w:t>
      </w:r>
      <w:r w:rsidR="00B46656">
        <w:t>justice</w:t>
      </w:r>
      <w:r>
        <w:t xml:space="preserve"> for all</w:t>
      </w:r>
      <w:r w:rsidR="007767F7">
        <w:t xml:space="preserve">. </w:t>
      </w:r>
    </w:p>
    <w:p w14:paraId="3CAD9110" w14:textId="2E391E41" w:rsidR="007767F7" w:rsidRPr="00B216B5" w:rsidRDefault="007767F7" w:rsidP="005818CC">
      <w:pPr>
        <w:pStyle w:val="IntenseQuote"/>
        <w:spacing w:before="120" w:after="120"/>
        <w:rPr>
          <w:b/>
        </w:rPr>
      </w:pPr>
      <w:r w:rsidRPr="00B216B5">
        <w:rPr>
          <w:b/>
        </w:rPr>
        <w:t>#MobilityJustice #EveryJourneyEveryone</w:t>
      </w:r>
      <w:bookmarkEnd w:id="2"/>
    </w:p>
    <w:sectPr w:rsidR="007767F7" w:rsidRPr="00B216B5" w:rsidSect="00E11D82">
      <w:headerReference w:type="default" r:id="rId20"/>
      <w:footerReference w:type="default" r:id="rId21"/>
      <w:headerReference w:type="first" r:id="rId22"/>
      <w:footerReference w:type="first" r:id="rId23"/>
      <w:type w:val="continuous"/>
      <w:pgSz w:w="11906" w:h="16838"/>
      <w:pgMar w:top="1191" w:right="1077" w:bottom="851" w:left="1077"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5D587" w14:textId="77777777" w:rsidR="00ED5756" w:rsidRDefault="00ED5756" w:rsidP="00D138FA">
      <w:pPr>
        <w:spacing w:after="0" w:line="240" w:lineRule="auto"/>
      </w:pPr>
      <w:r>
        <w:separator/>
      </w:r>
    </w:p>
  </w:endnote>
  <w:endnote w:type="continuationSeparator" w:id="0">
    <w:p w14:paraId="64D6C3E9" w14:textId="77777777" w:rsidR="00ED5756" w:rsidRDefault="00ED5756" w:rsidP="00D138FA">
      <w:pPr>
        <w:spacing w:after="0" w:line="240" w:lineRule="auto"/>
      </w:pPr>
      <w:r>
        <w:continuationSeparator/>
      </w:r>
    </w:p>
  </w:endnote>
  <w:endnote w:id="1">
    <w:p w14:paraId="51CBCED6" w14:textId="00083CA4" w:rsidR="004C7811" w:rsidRPr="004C7811" w:rsidRDefault="004C7811">
      <w:pPr>
        <w:pStyle w:val="EndnoteText"/>
        <w:rPr>
          <w:lang w:val="en-US"/>
        </w:rPr>
      </w:pPr>
      <w:r>
        <w:rPr>
          <w:rStyle w:val="EndnoteReference"/>
        </w:rPr>
        <w:endnoteRef/>
      </w:r>
      <w:r>
        <w:t xml:space="preserve"> </w:t>
      </w:r>
      <w:r>
        <w:rPr>
          <w:lang w:val="en-US"/>
        </w:rPr>
        <w:t>Government guidance on “</w:t>
      </w:r>
      <w:hyperlink r:id="rId1" w:history="1">
        <w:r w:rsidRPr="00314566">
          <w:rPr>
            <w:rStyle w:val="Hyperlink"/>
            <w:lang w:val="en-US"/>
          </w:rPr>
          <w:t>using mobility scooters and powered wheelchairs</w:t>
        </w:r>
      </w:hyperlink>
      <w:r>
        <w:rPr>
          <w:lang w:val="en-US"/>
        </w:rPr>
        <w:t xml:space="preserve">” states that to drive on the road, devices must be in class 3 or “not in class”. There is also a section on “eyesight requirements” – but there are no eyesight requirements for using mobility aids </w:t>
      </w:r>
      <w:r w:rsidR="00314566">
        <w:rPr>
          <w:lang w:val="en-US"/>
        </w:rPr>
        <w:t xml:space="preserve">including </w:t>
      </w:r>
      <w:r>
        <w:rPr>
          <w:lang w:val="en-US"/>
        </w:rPr>
        <w:t xml:space="preserve">wheelchairs and mobility scooters: If there were, Blind and visually impaired people who need to use powered wheelchairs would be </w:t>
      </w:r>
      <w:r w:rsidR="00EF48C9">
        <w:rPr>
          <w:lang w:val="en-US"/>
        </w:rPr>
        <w:t>banned from all independent mobility</w:t>
      </w:r>
      <w:r>
        <w:rPr>
          <w:lang w:val="en-US"/>
        </w:rPr>
        <w:t>.</w:t>
      </w:r>
      <w:r w:rsidR="00314566">
        <w:rPr>
          <w:lang w:val="en-US"/>
        </w:rPr>
        <w:t xml:space="preserve"> See our </w:t>
      </w:r>
      <w:hyperlink r:id="rId2" w:history="1">
        <w:r w:rsidR="00314566" w:rsidRPr="00462508">
          <w:rPr>
            <w:rStyle w:val="Hyperlink"/>
            <w:lang w:val="en-US"/>
          </w:rPr>
          <w:t>mobility aids guide sheet</w:t>
        </w:r>
      </w:hyperlink>
      <w:r w:rsidR="00314566">
        <w:rPr>
          <w:lang w:val="en-US"/>
        </w:rPr>
        <w:t xml:space="preserve"> for more information. </w:t>
      </w:r>
      <w:hyperlink r:id="rId3" w:history="1">
        <w:r w:rsidR="00314566" w:rsidRPr="006E443B">
          <w:rPr>
            <w:rStyle w:val="Hyperlink"/>
            <w:lang w:val="en-US"/>
          </w:rPr>
          <w:t>https://www.gov.uk/mobility-scooters-and-powered-wheelchairs-rules/driving-on-the-road</w:t>
        </w:r>
      </w:hyperlink>
    </w:p>
  </w:endnote>
  <w:endnote w:id="2">
    <w:p w14:paraId="68B87A0D" w14:textId="1E1045FE" w:rsidR="00462508" w:rsidRPr="00462508" w:rsidRDefault="00462508">
      <w:pPr>
        <w:pStyle w:val="EndnoteText"/>
        <w:rPr>
          <w:lang w:val="en-US"/>
        </w:rPr>
      </w:pPr>
      <w:r>
        <w:rPr>
          <w:rStyle w:val="EndnoteReference"/>
        </w:rPr>
        <w:endnoteRef/>
      </w:r>
      <w:r>
        <w:t xml:space="preserve"> </w:t>
      </w:r>
      <w:r>
        <w:rPr>
          <w:lang w:val="en-US"/>
        </w:rPr>
        <w:t xml:space="preserve">We supported Israel Vidal after his wheelchair was confiscated along with a power attachment, when he tipped over on his way to a bus stop at walking speed. The mobility aids he was using are safety tested to relevant standards. </w:t>
      </w:r>
      <w:hyperlink r:id="rId4" w:history="1">
        <w:r w:rsidRPr="006E443B">
          <w:rPr>
            <w:rStyle w:val="Hyperlink"/>
            <w:lang w:val="en-US"/>
          </w:rPr>
          <w:t>https://www.bbc.co.uk/news/articles/c5y7dpwle4yo</w:t>
        </w:r>
      </w:hyperlink>
      <w:r>
        <w:rPr>
          <w:lang w:val="en-US"/>
        </w:rPr>
        <w:t xml:space="preserve"> </w:t>
      </w:r>
    </w:p>
  </w:endnote>
  <w:endnote w:id="3">
    <w:p w14:paraId="208E010B" w14:textId="3EFD30F6" w:rsidR="00462508" w:rsidRPr="00462508" w:rsidRDefault="00462508">
      <w:pPr>
        <w:pStyle w:val="EndnoteText"/>
        <w:rPr>
          <w:lang w:val="en-US"/>
        </w:rPr>
      </w:pPr>
      <w:r>
        <w:rPr>
          <w:rStyle w:val="EndnoteReference"/>
        </w:rPr>
        <w:endnoteRef/>
      </w:r>
      <w:r>
        <w:t xml:space="preserve"> </w:t>
      </w:r>
      <w:r>
        <w:rPr>
          <w:lang w:val="en-US"/>
        </w:rPr>
        <w:t xml:space="preserve">Government guidance on “using mobility scooters and powered wheelchairs” states that to drive on the road, devices must be in class 3 or “not in class”. We do not think this is correct. See our </w:t>
      </w:r>
      <w:hyperlink r:id="rId5" w:history="1">
        <w:r w:rsidRPr="00462508">
          <w:rPr>
            <w:rStyle w:val="Hyperlink"/>
            <w:lang w:val="en-US"/>
          </w:rPr>
          <w:t>mobility aids guide sheet</w:t>
        </w:r>
      </w:hyperlink>
      <w:r>
        <w:rPr>
          <w:lang w:val="en-US"/>
        </w:rPr>
        <w:t xml:space="preserve"> for more information. </w:t>
      </w:r>
      <w:hyperlink r:id="rId6" w:history="1">
        <w:r w:rsidRPr="006E443B">
          <w:rPr>
            <w:rStyle w:val="Hyperlink"/>
            <w:lang w:val="en-US"/>
          </w:rPr>
          <w:t>https://www.gov.uk/mobility-scooters-and-powered-wheelchairs-rules/driving-on-the-road</w:t>
        </w:r>
      </w:hyperlink>
      <w:r>
        <w:rPr>
          <w:lang w:val="en-US"/>
        </w:rPr>
        <w:t xml:space="preserve"> </w:t>
      </w:r>
    </w:p>
  </w:endnote>
  <w:endnote w:id="4">
    <w:p w14:paraId="2EA00357" w14:textId="73B1D083" w:rsidR="00462508" w:rsidRPr="00462508" w:rsidRDefault="00462508">
      <w:pPr>
        <w:pStyle w:val="EndnoteText"/>
        <w:rPr>
          <w:lang w:val="en-US"/>
        </w:rPr>
      </w:pPr>
      <w:r>
        <w:rPr>
          <w:rStyle w:val="EndnoteReference"/>
        </w:rPr>
        <w:endnoteRef/>
      </w:r>
      <w:r>
        <w:t xml:space="preserve"> </w:t>
      </w:r>
      <w:r>
        <w:rPr>
          <w:lang w:val="en-US"/>
        </w:rPr>
        <w:t xml:space="preserve">For example, John Preston “what are the laws on use of wheelchair power attachments” which heavily implies that wheelchair power attachments are class 1 “invalid carriages” that can’t be used on roads but may be used, including at high speeds, on pavements and in pedestrian spaces. It is our understanding that this is completely incorrect. </w:t>
      </w:r>
      <w:hyperlink r:id="rId7" w:history="1">
        <w:r w:rsidRPr="006E443B">
          <w:rPr>
            <w:rStyle w:val="Hyperlink"/>
            <w:lang w:val="en-US"/>
          </w:rPr>
          <w:t>https://www.johnpreston.co.uk/blog/post/what-are-the-laws-on-use-of-wheelchair-power-attachments</w:t>
        </w:r>
      </w:hyperlink>
      <w:r>
        <w:rPr>
          <w:lang w:val="en-US"/>
        </w:rPr>
        <w:t xml:space="preserve"> </w:t>
      </w:r>
    </w:p>
  </w:endnote>
  <w:endnote w:id="5">
    <w:p w14:paraId="148367CE" w14:textId="5396A848" w:rsidR="00980155" w:rsidRPr="00980155" w:rsidRDefault="00980155">
      <w:pPr>
        <w:pStyle w:val="EndnoteText"/>
        <w:rPr>
          <w:lang w:val="en-US"/>
        </w:rPr>
      </w:pPr>
      <w:r>
        <w:rPr>
          <w:rStyle w:val="EndnoteReference"/>
        </w:rPr>
        <w:endnoteRef/>
      </w:r>
      <w:r>
        <w:t xml:space="preserve"> </w:t>
      </w:r>
      <w:r>
        <w:rPr>
          <w:lang w:val="en-US"/>
        </w:rPr>
        <w:t xml:space="preserve">BS EN 12184:2022 “Electrically powered wheelchairs, scooters and their chargers. Requirements and test methods” costs £488 on 26/01/2026 </w:t>
      </w:r>
      <w:hyperlink r:id="rId8" w:history="1">
        <w:r w:rsidRPr="006E443B">
          <w:rPr>
            <w:rStyle w:val="Hyperlink"/>
            <w:lang w:val="en-US"/>
          </w:rPr>
          <w:t>https://knowledge.bsigroup.com/products/electrically-powered-wheelchairs-scooters-and-their-chargers-requirements-and-test-methods</w:t>
        </w:r>
      </w:hyperlink>
      <w:r>
        <w:rPr>
          <w:lang w:val="en-US"/>
        </w:rPr>
        <w:t xml:space="preserve"> </w:t>
      </w:r>
    </w:p>
  </w:endnote>
  <w:endnote w:id="6">
    <w:p w14:paraId="7C946AFF" w14:textId="1315BCCB" w:rsidR="00972A4F" w:rsidRPr="00972A4F" w:rsidRDefault="00972A4F">
      <w:pPr>
        <w:pStyle w:val="EndnoteText"/>
        <w:rPr>
          <w:lang w:val="en-US"/>
        </w:rPr>
      </w:pPr>
      <w:r>
        <w:rPr>
          <w:rStyle w:val="EndnoteReference"/>
        </w:rPr>
        <w:endnoteRef/>
      </w:r>
      <w:r>
        <w:t xml:space="preserve"> </w:t>
      </w:r>
      <w:r>
        <w:rPr>
          <w:lang w:val="en-US"/>
        </w:rPr>
        <w:t xml:space="preserve">For example, ISO 7176 </w:t>
      </w:r>
      <w:hyperlink r:id="rId9" w:history="1">
        <w:r w:rsidRPr="006E443B">
          <w:rPr>
            <w:rStyle w:val="Hyperlink"/>
            <w:lang w:val="en-US"/>
          </w:rPr>
          <w:t>https://www.en-standard.eu/search/?q=7176</w:t>
        </w:r>
      </w:hyperlink>
      <w:r>
        <w:rPr>
          <w:lang w:val="en-US"/>
        </w:rPr>
        <w:t xml:space="preserve"> </w:t>
      </w:r>
    </w:p>
  </w:endnote>
  <w:endnote w:id="7">
    <w:p w14:paraId="4C8F66A4" w14:textId="592C2CEB" w:rsidR="00972A4F" w:rsidRPr="00972A4F" w:rsidRDefault="00972A4F">
      <w:pPr>
        <w:pStyle w:val="EndnoteText"/>
        <w:rPr>
          <w:lang w:val="en-US"/>
        </w:rPr>
      </w:pPr>
      <w:r>
        <w:rPr>
          <w:rStyle w:val="EndnoteReference"/>
        </w:rPr>
        <w:endnoteRef/>
      </w:r>
      <w:r>
        <w:t xml:space="preserve"> </w:t>
      </w:r>
      <w:r>
        <w:rPr>
          <w:lang w:val="en-US"/>
        </w:rPr>
        <w:t xml:space="preserve">For example, this 2025 blog from Mobility Smart: </w:t>
      </w:r>
      <w:hyperlink r:id="rId10" w:history="1">
        <w:r w:rsidRPr="006E443B">
          <w:rPr>
            <w:rStyle w:val="Hyperlink"/>
            <w:lang w:val="en-US"/>
          </w:rPr>
          <w:t>https://www.mobilitysmart.co.uk/blog/can-i-use-my-mobility-scooter-in-the-rain-heres-what-the-law-and-science-says</w:t>
        </w:r>
      </w:hyperlink>
      <w:r>
        <w:rPr>
          <w:lang w:val="en-US"/>
        </w:rPr>
        <w:t xml:space="preserve"> and this</w:t>
      </w:r>
      <w:r w:rsidR="007E61A7">
        <w:rPr>
          <w:lang w:val="en-US"/>
        </w:rPr>
        <w:t xml:space="preserve"> from Monarch Mobility: </w:t>
      </w:r>
      <w:hyperlink r:id="rId11" w:history="1">
        <w:r w:rsidR="007E61A7" w:rsidRPr="006E443B">
          <w:rPr>
            <w:rStyle w:val="Hyperlink"/>
            <w:lang w:val="en-US"/>
          </w:rPr>
          <w:t>https://monarchmobility.com/blog/can-you-use-a-mobility-scooter-in-the-rain/?srsltid=AfmBOorJUojYc78AE3gd9eMHroHkCl7-NIMNQWJgRKvA_WEbPBpIO_El</w:t>
        </w:r>
      </w:hyperlink>
      <w:r w:rsidR="007E61A7">
        <w:rPr>
          <w:lang w:val="en-US"/>
        </w:rPr>
        <w:t xml:space="preserve"> </w:t>
      </w:r>
    </w:p>
  </w:endnote>
  <w:endnote w:id="8">
    <w:p w14:paraId="53B0F6A7" w14:textId="432112D5" w:rsidR="00972A4F" w:rsidRPr="00972A4F" w:rsidRDefault="00972A4F">
      <w:pPr>
        <w:pStyle w:val="EndnoteText"/>
        <w:rPr>
          <w:lang w:val="en-US"/>
        </w:rPr>
      </w:pPr>
      <w:r>
        <w:rPr>
          <w:rStyle w:val="EndnoteReference"/>
        </w:rPr>
        <w:endnoteRef/>
      </w:r>
      <w:r>
        <w:t xml:space="preserve"> Government e-scooter trials guidance for local areas and rental operators </w:t>
      </w:r>
      <w:hyperlink r:id="rId12" w:anchor="minimum-technical-requirements-for-e-scooters" w:history="1">
        <w:r w:rsidRPr="006E443B">
          <w:rPr>
            <w:rStyle w:val="Hyperlink"/>
          </w:rPr>
          <w:t>https://www.gov.uk/government/publications/e-scooter-trials-guidance-for-local-areas-and-rental-operators/e-scooter-trials-guidance-for-local-areas-and-rental-operators#minimum-technical-requirements-for-e-scooters</w:t>
        </w:r>
      </w:hyperlink>
      <w:r>
        <w:t xml:space="preserve"> </w:t>
      </w:r>
    </w:p>
  </w:endnote>
  <w:endnote w:id="9">
    <w:p w14:paraId="127205F9" w14:textId="691A19B9" w:rsidR="007B0900" w:rsidRPr="007B0900" w:rsidRDefault="007B0900">
      <w:pPr>
        <w:pStyle w:val="EndnoteText"/>
        <w:rPr>
          <w:lang w:val="en-US"/>
        </w:rPr>
      </w:pPr>
      <w:r>
        <w:rPr>
          <w:rStyle w:val="EndnoteReference"/>
        </w:rPr>
        <w:endnoteRef/>
      </w:r>
      <w:r>
        <w:t xml:space="preserve"> </w:t>
      </w:r>
      <w:r>
        <w:rPr>
          <w:lang w:val="en-US"/>
        </w:rPr>
        <w:t xml:space="preserve">See </w:t>
      </w:r>
      <w:hyperlink r:id="rId13" w:history="1">
        <w:r w:rsidRPr="007B0900">
          <w:rPr>
            <w:rStyle w:val="Hyperlink"/>
            <w:lang w:val="en-US"/>
          </w:rPr>
          <w:t>Wheels for Wellbeing Guide to the Equality Act</w:t>
        </w:r>
      </w:hyperlink>
      <w:r>
        <w:rPr>
          <w:lang w:val="en-US"/>
        </w:rPr>
        <w:t xml:space="preserve"> and </w:t>
      </w:r>
      <w:hyperlink r:id="rId14" w:history="1">
        <w:r w:rsidRPr="007B0900">
          <w:rPr>
            <w:rStyle w:val="Hyperlink"/>
            <w:lang w:val="en-US"/>
          </w:rPr>
          <w:t>Wheels for Wellbeing Guide to the Public Sector Equality Duty</w:t>
        </w:r>
      </w:hyperlink>
      <w:r>
        <w:rPr>
          <w:lang w:val="en-US"/>
        </w:rPr>
        <w:t>.</w:t>
      </w:r>
    </w:p>
  </w:endnote>
  <w:endnote w:id="10">
    <w:p w14:paraId="2C9045A7" w14:textId="3DB7F8F2" w:rsidR="007B0900" w:rsidRPr="007B0900" w:rsidRDefault="007B0900">
      <w:pPr>
        <w:pStyle w:val="EndnoteText"/>
        <w:rPr>
          <w:lang w:val="en-US"/>
        </w:rPr>
      </w:pPr>
      <w:r>
        <w:rPr>
          <w:rStyle w:val="EndnoteReference"/>
        </w:rPr>
        <w:endnoteRef/>
      </w:r>
      <w:r>
        <w:t xml:space="preserve"> </w:t>
      </w:r>
      <w:r>
        <w:rPr>
          <w:lang w:val="en-US"/>
        </w:rPr>
        <w:t xml:space="preserve">United Nations Convention on the Rights of Persons with Disabilities article 20 – personal mobility </w:t>
      </w:r>
      <w:hyperlink r:id="rId15" w:history="1">
        <w:r w:rsidRPr="006E443B">
          <w:rPr>
            <w:rStyle w:val="Hyperlink"/>
            <w:lang w:val="en-US"/>
          </w:rPr>
          <w:t>https://www.un.org/development/desa/disabilities/convention-on-the-rights-of-persons-with-disabilities/article-20-personal-mobility.html</w:t>
        </w:r>
      </w:hyperlink>
      <w:r>
        <w:rPr>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65FF6" w14:textId="1DC6294F" w:rsidR="00543A6E" w:rsidRPr="00EE7DE5" w:rsidRDefault="00543A6E" w:rsidP="00CA1238">
    <w:pPr>
      <w:pStyle w:val="Footer"/>
      <w:shd w:val="clear" w:color="auto" w:fill="00335B" w:themeFill="text2" w:themeFillShade="80"/>
      <w:jc w:val="right"/>
      <w:rPr>
        <w:color w:val="FFFFFF" w:themeColor="background1"/>
        <w:lang w:val="en-US"/>
      </w:rPr>
    </w:pPr>
    <w:r w:rsidRPr="00EE7DE5">
      <w:rPr>
        <w:color w:val="FFFFFF" w:themeColor="background1"/>
        <w:lang w:val="en-US"/>
      </w:rPr>
      <w:fldChar w:fldCharType="begin"/>
    </w:r>
    <w:r w:rsidRPr="00EE7DE5">
      <w:rPr>
        <w:color w:val="FFFFFF" w:themeColor="background1"/>
        <w:lang w:val="en-US"/>
      </w:rPr>
      <w:instrText xml:space="preserve"> PAGE   \* MERGEFORMAT </w:instrText>
    </w:r>
    <w:r w:rsidRPr="00EE7DE5">
      <w:rPr>
        <w:color w:val="FFFFFF" w:themeColor="background1"/>
        <w:lang w:val="en-US"/>
      </w:rPr>
      <w:fldChar w:fldCharType="separate"/>
    </w:r>
    <w:r w:rsidRPr="00EE7DE5">
      <w:rPr>
        <w:noProof/>
        <w:color w:val="FFFFFF" w:themeColor="background1"/>
        <w:lang w:val="en-US"/>
      </w:rPr>
      <w:t>1</w:t>
    </w:r>
    <w:r w:rsidRPr="00EE7DE5">
      <w:rPr>
        <w:noProof/>
        <w:color w:val="FFFFFF" w:themeColor="background1"/>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5B6C2" w14:textId="195FFDF6" w:rsidR="00985969" w:rsidRDefault="00985969" w:rsidP="00985969">
    <w:pPr>
      <w:pStyle w:val="Footer"/>
      <w:shd w:val="clear" w:color="auto" w:fill="00335B" w:themeFill="text2" w:themeFillShade="80"/>
      <w:rPr>
        <w:color w:val="FFFFFF" w:themeColor="background1"/>
        <w:lang w:val="en-US"/>
      </w:rPr>
    </w:pPr>
    <w:r>
      <w:rPr>
        <w:color w:val="FFFFFF" w:themeColor="background1"/>
        <w:lang w:val="en-US"/>
      </w:rPr>
      <w:t>Wheels for Wellbeing – Charity no. 1120905 / Company no. 06288610</w:t>
    </w:r>
    <w:proofErr w:type="gramStart"/>
    <w:r>
      <w:rPr>
        <w:color w:val="FFFFFF" w:themeColor="background1"/>
        <w:lang w:val="en-US"/>
      </w:rPr>
      <w:tab/>
      <w:t xml:space="preserve">  ref</w:t>
    </w:r>
    <w:proofErr w:type="gramEnd"/>
    <w:r>
      <w:rPr>
        <w:color w:val="FFFFFF" w:themeColor="background1"/>
        <w:lang w:val="en-US"/>
      </w:rPr>
      <w:t xml:space="preserve"> </w:t>
    </w:r>
    <w:r w:rsidR="00054403">
      <w:rPr>
        <w:color w:val="FFFFFF" w:themeColor="background1"/>
        <w:lang w:val="en-US"/>
      </w:rPr>
      <w:t>cs</w:t>
    </w:r>
    <w:r w:rsidR="0096151B">
      <w:rPr>
        <w:color w:val="FFFFFF" w:themeColor="background1"/>
        <w:lang w:val="en-US"/>
      </w:rPr>
      <w:t>6</w:t>
    </w:r>
    <w:r w:rsidR="00054403">
      <w:rPr>
        <w:color w:val="FFFFFF" w:themeColor="background1"/>
        <w:lang w:val="en-US"/>
      </w:rPr>
      <w:t>01/2026</w:t>
    </w:r>
  </w:p>
  <w:p w14:paraId="36E139F9" w14:textId="77777777" w:rsidR="00985969" w:rsidRPr="00EE7DE5" w:rsidRDefault="00985969" w:rsidP="00985969">
    <w:pPr>
      <w:pStyle w:val="Footer"/>
      <w:shd w:val="clear" w:color="auto" w:fill="00335B" w:themeFill="text2" w:themeFillShade="80"/>
      <w:rPr>
        <w:color w:val="FFFFFF" w:themeColor="background1"/>
        <w:lang w:val="en-US"/>
      </w:rPr>
    </w:pPr>
    <w:r w:rsidRPr="00EE7DE5">
      <w:rPr>
        <w:color w:val="FFFFFF" w:themeColor="background1"/>
        <w:lang w:val="en-US"/>
      </w:rPr>
      <w:tab/>
    </w:r>
    <w:r>
      <w:rPr>
        <w:color w:val="FFFFFF" w:themeColor="background1"/>
        <w:lang w:val="en-US"/>
      </w:rPr>
      <w:t>© Wheels for Wellbeing. All rights reserved</w:t>
    </w:r>
  </w:p>
  <w:p w14:paraId="13B4E51C" w14:textId="351B735E" w:rsidR="00CA1238" w:rsidRPr="00985969" w:rsidRDefault="00CA1238" w:rsidP="00985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29FF2" w14:textId="77777777" w:rsidR="00ED5756" w:rsidRDefault="00ED5756" w:rsidP="00D138FA">
      <w:pPr>
        <w:spacing w:after="0" w:line="240" w:lineRule="auto"/>
      </w:pPr>
      <w:r>
        <w:separator/>
      </w:r>
    </w:p>
  </w:footnote>
  <w:footnote w:type="continuationSeparator" w:id="0">
    <w:p w14:paraId="4E74292A" w14:textId="77777777" w:rsidR="00ED5756" w:rsidRDefault="00ED5756" w:rsidP="00D13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ACF53" w14:textId="57E3B987" w:rsidR="00543A6E" w:rsidRDefault="00543A6E" w:rsidP="00526C68">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F04EB" w14:textId="23E621FB" w:rsidR="00CA1238" w:rsidRPr="00985969" w:rsidRDefault="00985969" w:rsidP="00985969">
    <w:pPr>
      <w:pStyle w:val="Header"/>
      <w:spacing w:after="240"/>
      <w:jc w:val="right"/>
    </w:pPr>
    <w:r>
      <w:rPr>
        <w:noProof/>
      </w:rPr>
      <w:t xml:space="preserve">Page </w:t>
    </w:r>
    <w:r w:rsidRPr="006A5AAD">
      <w:rPr>
        <w:b/>
        <w:bCs/>
        <w:noProof/>
      </w:rPr>
      <w:fldChar w:fldCharType="begin"/>
    </w:r>
    <w:r w:rsidRPr="006A5AAD">
      <w:rPr>
        <w:b/>
        <w:bCs/>
        <w:noProof/>
      </w:rPr>
      <w:instrText xml:space="preserve"> PAGE  \* Arabic  \* MERGEFORMAT </w:instrText>
    </w:r>
    <w:r w:rsidRPr="006A5AAD">
      <w:rPr>
        <w:b/>
        <w:bCs/>
        <w:noProof/>
      </w:rPr>
      <w:fldChar w:fldCharType="separate"/>
    </w:r>
    <w:r>
      <w:rPr>
        <w:b/>
        <w:bCs/>
        <w:noProof/>
      </w:rPr>
      <w:t>1</w:t>
    </w:r>
    <w:r w:rsidRPr="006A5AAD">
      <w:rPr>
        <w:b/>
        <w:bCs/>
        <w:noProof/>
      </w:rPr>
      <w:fldChar w:fldCharType="end"/>
    </w:r>
    <w:r>
      <w:rPr>
        <w:noProof/>
      </w:rPr>
      <w:t xml:space="preserve"> of </w:t>
    </w:r>
    <w:r w:rsidRPr="006A5AAD">
      <w:rPr>
        <w:b/>
        <w:bCs/>
        <w:noProof/>
      </w:rPr>
      <w:fldChar w:fldCharType="begin"/>
    </w:r>
    <w:r w:rsidRPr="006A5AAD">
      <w:rPr>
        <w:b/>
        <w:bCs/>
        <w:noProof/>
      </w:rPr>
      <w:instrText xml:space="preserve"> NUMPAGES  \* Arabic  \* MERGEFORMAT </w:instrText>
    </w:r>
    <w:r w:rsidRPr="006A5AAD">
      <w:rPr>
        <w:b/>
        <w:bCs/>
        <w:noProof/>
      </w:rPr>
      <w:fldChar w:fldCharType="separate"/>
    </w:r>
    <w:r>
      <w:rPr>
        <w:b/>
        <w:bCs/>
        <w:noProof/>
      </w:rPr>
      <w:t>10</w:t>
    </w:r>
    <w:r w:rsidRPr="006A5AAD">
      <w:rPr>
        <w:b/>
        <w:bCs/>
        <w:noProof/>
      </w:rPr>
      <w:fldChar w:fldCharType="end"/>
    </w:r>
    <w:r>
      <w:rPr>
        <w:b/>
        <w:bCs/>
        <w:noProof/>
      </w:rPr>
      <w:tab/>
    </w:r>
    <w:r>
      <w:rPr>
        <w:b/>
        <w:bCs/>
        <w:noProof/>
      </w:rPr>
      <w:tab/>
    </w:r>
    <w:r>
      <w:rPr>
        <w:noProof/>
      </w:rPr>
      <w:drawing>
        <wp:inline distT="0" distB="0" distL="0" distR="0" wp14:anchorId="549115A1" wp14:editId="5CF7A79D">
          <wp:extent cx="1392084" cy="417625"/>
          <wp:effectExtent l="0" t="0" r="0" b="1905"/>
          <wp:docPr id="1" name="Picture 1" descr="Wheels for Wellbeing logo has a blue and orange wheel with the words &quot;Wheels for Wellbeing&quot;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7770" cy="4223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5F0"/>
    <w:multiLevelType w:val="hybridMultilevel"/>
    <w:tmpl w:val="8FECB54A"/>
    <w:lvl w:ilvl="0" w:tplc="E0687738">
      <w:start w:val="1"/>
      <w:numFmt w:val="decimal"/>
      <w:pStyle w:val="Heading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6F7B25"/>
    <w:multiLevelType w:val="hybridMultilevel"/>
    <w:tmpl w:val="8A521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3C2082"/>
    <w:multiLevelType w:val="hybridMultilevel"/>
    <w:tmpl w:val="7BFE1BBA"/>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CC6F30"/>
    <w:multiLevelType w:val="hybridMultilevel"/>
    <w:tmpl w:val="162E42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B61A74"/>
    <w:multiLevelType w:val="hybridMultilevel"/>
    <w:tmpl w:val="F24A8388"/>
    <w:lvl w:ilvl="0" w:tplc="E1FE63F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384201A1"/>
    <w:multiLevelType w:val="hybridMultilevel"/>
    <w:tmpl w:val="47C83E9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A382430"/>
    <w:multiLevelType w:val="hybridMultilevel"/>
    <w:tmpl w:val="5C3E34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3B3156"/>
    <w:multiLevelType w:val="hybridMultilevel"/>
    <w:tmpl w:val="C2105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9D2E57"/>
    <w:multiLevelType w:val="hybridMultilevel"/>
    <w:tmpl w:val="14882704"/>
    <w:lvl w:ilvl="0" w:tplc="9684D49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8815A6"/>
    <w:multiLevelType w:val="hybridMultilevel"/>
    <w:tmpl w:val="3D368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4753B3"/>
    <w:multiLevelType w:val="hybridMultilevel"/>
    <w:tmpl w:val="16AAD0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D657B3"/>
    <w:multiLevelType w:val="hybridMultilevel"/>
    <w:tmpl w:val="4192052E"/>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0E26D2"/>
    <w:multiLevelType w:val="hybridMultilevel"/>
    <w:tmpl w:val="001EE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337B93"/>
    <w:multiLevelType w:val="hybridMultilevel"/>
    <w:tmpl w:val="FDA2F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D75F7E"/>
    <w:multiLevelType w:val="hybridMultilevel"/>
    <w:tmpl w:val="6374A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C43150"/>
    <w:multiLevelType w:val="hybridMultilevel"/>
    <w:tmpl w:val="F16ED1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3265FA"/>
    <w:multiLevelType w:val="hybridMultilevel"/>
    <w:tmpl w:val="F328DD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AB07B4"/>
    <w:multiLevelType w:val="multilevel"/>
    <w:tmpl w:val="658C358A"/>
    <w:name w:val="Access Reviews"/>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8" w15:restartNumberingAfterBreak="0">
    <w:nsid w:val="5BD125BE"/>
    <w:multiLevelType w:val="hybridMultilevel"/>
    <w:tmpl w:val="85405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51171B"/>
    <w:multiLevelType w:val="hybridMultilevel"/>
    <w:tmpl w:val="03E82D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832C06"/>
    <w:multiLevelType w:val="hybridMultilevel"/>
    <w:tmpl w:val="544A23C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A170B9"/>
    <w:multiLevelType w:val="hybridMultilevel"/>
    <w:tmpl w:val="6180F794"/>
    <w:lvl w:ilvl="0" w:tplc="AA34FE70">
      <w:start w:val="1"/>
      <w:numFmt w:val="lowerLetter"/>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640016EF"/>
    <w:multiLevelType w:val="multilevel"/>
    <w:tmpl w:val="4AC0F8E8"/>
    <w:name w:val="Access Reviews22"/>
    <w:lvl w:ilvl="0">
      <w:start w:val="1"/>
      <w:numFmt w:val="none"/>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72F608ED"/>
    <w:multiLevelType w:val="hybridMultilevel"/>
    <w:tmpl w:val="B162A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3601AC"/>
    <w:multiLevelType w:val="hybridMultilevel"/>
    <w:tmpl w:val="B0D681F6"/>
    <w:name w:val="Access Reviews222"/>
    <w:lvl w:ilvl="0" w:tplc="9684D49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6129494">
    <w:abstractNumId w:val="22"/>
  </w:num>
  <w:num w:numId="2" w16cid:durableId="772746716">
    <w:abstractNumId w:val="8"/>
  </w:num>
  <w:num w:numId="3" w16cid:durableId="1870021332">
    <w:abstractNumId w:val="24"/>
  </w:num>
  <w:num w:numId="4" w16cid:durableId="1981617090">
    <w:abstractNumId w:val="22"/>
  </w:num>
  <w:num w:numId="5" w16cid:durableId="808478035">
    <w:abstractNumId w:val="11"/>
  </w:num>
  <w:num w:numId="6" w16cid:durableId="577058101">
    <w:abstractNumId w:val="10"/>
  </w:num>
  <w:num w:numId="7" w16cid:durableId="561986703">
    <w:abstractNumId w:val="1"/>
  </w:num>
  <w:num w:numId="8" w16cid:durableId="1991592520">
    <w:abstractNumId w:val="16"/>
  </w:num>
  <w:num w:numId="9" w16cid:durableId="1326518065">
    <w:abstractNumId w:val="15"/>
  </w:num>
  <w:num w:numId="10" w16cid:durableId="1696880915">
    <w:abstractNumId w:val="6"/>
  </w:num>
  <w:num w:numId="11" w16cid:durableId="2031446290">
    <w:abstractNumId w:val="5"/>
  </w:num>
  <w:num w:numId="12" w16cid:durableId="977339678">
    <w:abstractNumId w:val="18"/>
  </w:num>
  <w:num w:numId="13" w16cid:durableId="926379502">
    <w:abstractNumId w:val="21"/>
  </w:num>
  <w:num w:numId="14" w16cid:durableId="1229919690">
    <w:abstractNumId w:val="4"/>
  </w:num>
  <w:num w:numId="15" w16cid:durableId="1418482510">
    <w:abstractNumId w:val="9"/>
  </w:num>
  <w:num w:numId="16" w16cid:durableId="81991698">
    <w:abstractNumId w:val="23"/>
  </w:num>
  <w:num w:numId="17" w16cid:durableId="119806877">
    <w:abstractNumId w:val="19"/>
  </w:num>
  <w:num w:numId="18" w16cid:durableId="1173883513">
    <w:abstractNumId w:val="20"/>
  </w:num>
  <w:num w:numId="19" w16cid:durableId="799422968">
    <w:abstractNumId w:val="7"/>
  </w:num>
  <w:num w:numId="20" w16cid:durableId="800343789">
    <w:abstractNumId w:val="13"/>
  </w:num>
  <w:num w:numId="21" w16cid:durableId="1019236519">
    <w:abstractNumId w:val="2"/>
  </w:num>
  <w:num w:numId="22" w16cid:durableId="898174433">
    <w:abstractNumId w:val="14"/>
  </w:num>
  <w:num w:numId="23" w16cid:durableId="1568489830">
    <w:abstractNumId w:val="3"/>
  </w:num>
  <w:num w:numId="24" w16cid:durableId="485171598">
    <w:abstractNumId w:val="0"/>
  </w:num>
  <w:num w:numId="25" w16cid:durableId="19653102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534"/>
    <w:rsid w:val="00012B6D"/>
    <w:rsid w:val="0001723A"/>
    <w:rsid w:val="00017F3F"/>
    <w:rsid w:val="00024501"/>
    <w:rsid w:val="000347B4"/>
    <w:rsid w:val="00045636"/>
    <w:rsid w:val="000510BD"/>
    <w:rsid w:val="0005213D"/>
    <w:rsid w:val="0005367B"/>
    <w:rsid w:val="00053ED5"/>
    <w:rsid w:val="00054403"/>
    <w:rsid w:val="0006066D"/>
    <w:rsid w:val="000645A8"/>
    <w:rsid w:val="00066FF7"/>
    <w:rsid w:val="000676CE"/>
    <w:rsid w:val="00074101"/>
    <w:rsid w:val="000752C7"/>
    <w:rsid w:val="00095111"/>
    <w:rsid w:val="000A065C"/>
    <w:rsid w:val="000A0892"/>
    <w:rsid w:val="000A1D78"/>
    <w:rsid w:val="000B13C2"/>
    <w:rsid w:val="000B5E7B"/>
    <w:rsid w:val="000E31DC"/>
    <w:rsid w:val="000E4DE8"/>
    <w:rsid w:val="000E4F5A"/>
    <w:rsid w:val="000F09B9"/>
    <w:rsid w:val="000F2352"/>
    <w:rsid w:val="000F4000"/>
    <w:rsid w:val="000F4875"/>
    <w:rsid w:val="001132A7"/>
    <w:rsid w:val="00115209"/>
    <w:rsid w:val="001267DF"/>
    <w:rsid w:val="00130C7E"/>
    <w:rsid w:val="001315B3"/>
    <w:rsid w:val="001317BA"/>
    <w:rsid w:val="001350A0"/>
    <w:rsid w:val="001466F6"/>
    <w:rsid w:val="00147C6C"/>
    <w:rsid w:val="00150D89"/>
    <w:rsid w:val="00151F0F"/>
    <w:rsid w:val="00152555"/>
    <w:rsid w:val="0015298B"/>
    <w:rsid w:val="0015321E"/>
    <w:rsid w:val="00160592"/>
    <w:rsid w:val="0016250F"/>
    <w:rsid w:val="00162D6E"/>
    <w:rsid w:val="001666E1"/>
    <w:rsid w:val="00170B10"/>
    <w:rsid w:val="00171BD5"/>
    <w:rsid w:val="00172DA7"/>
    <w:rsid w:val="00173A7C"/>
    <w:rsid w:val="00174D49"/>
    <w:rsid w:val="001764E7"/>
    <w:rsid w:val="0018658F"/>
    <w:rsid w:val="00196671"/>
    <w:rsid w:val="001A17F3"/>
    <w:rsid w:val="001A2274"/>
    <w:rsid w:val="001A3E5F"/>
    <w:rsid w:val="001A758C"/>
    <w:rsid w:val="001B117D"/>
    <w:rsid w:val="001B3DC4"/>
    <w:rsid w:val="001C010C"/>
    <w:rsid w:val="001C0405"/>
    <w:rsid w:val="001D1C55"/>
    <w:rsid w:val="001D367B"/>
    <w:rsid w:val="001E1F18"/>
    <w:rsid w:val="001E50C6"/>
    <w:rsid w:val="001F4540"/>
    <w:rsid w:val="001F4C7C"/>
    <w:rsid w:val="00202A0A"/>
    <w:rsid w:val="00204433"/>
    <w:rsid w:val="00205293"/>
    <w:rsid w:val="00213B69"/>
    <w:rsid w:val="00232129"/>
    <w:rsid w:val="00232A81"/>
    <w:rsid w:val="00236848"/>
    <w:rsid w:val="00237E71"/>
    <w:rsid w:val="00237EA6"/>
    <w:rsid w:val="00242148"/>
    <w:rsid w:val="002447F6"/>
    <w:rsid w:val="00257974"/>
    <w:rsid w:val="00276329"/>
    <w:rsid w:val="00277A2A"/>
    <w:rsid w:val="0028317C"/>
    <w:rsid w:val="00284AB9"/>
    <w:rsid w:val="0028548E"/>
    <w:rsid w:val="00285E9A"/>
    <w:rsid w:val="002875D3"/>
    <w:rsid w:val="00294054"/>
    <w:rsid w:val="0029525A"/>
    <w:rsid w:val="00295BB1"/>
    <w:rsid w:val="00296ECE"/>
    <w:rsid w:val="002A5C4E"/>
    <w:rsid w:val="002C44D2"/>
    <w:rsid w:val="002C50CB"/>
    <w:rsid w:val="002C55FB"/>
    <w:rsid w:val="002C5B1D"/>
    <w:rsid w:val="002D0489"/>
    <w:rsid w:val="002D7AF0"/>
    <w:rsid w:val="002E33B7"/>
    <w:rsid w:val="002E4D6D"/>
    <w:rsid w:val="002E6A7D"/>
    <w:rsid w:val="002F65FD"/>
    <w:rsid w:val="003045D1"/>
    <w:rsid w:val="003049DA"/>
    <w:rsid w:val="00310916"/>
    <w:rsid w:val="00310ADB"/>
    <w:rsid w:val="003111B7"/>
    <w:rsid w:val="00314566"/>
    <w:rsid w:val="003149D7"/>
    <w:rsid w:val="00316557"/>
    <w:rsid w:val="00323C97"/>
    <w:rsid w:val="003250A5"/>
    <w:rsid w:val="00325C5D"/>
    <w:rsid w:val="0033059C"/>
    <w:rsid w:val="00331922"/>
    <w:rsid w:val="003351CD"/>
    <w:rsid w:val="0033776E"/>
    <w:rsid w:val="003423DC"/>
    <w:rsid w:val="00352637"/>
    <w:rsid w:val="0035457A"/>
    <w:rsid w:val="00356251"/>
    <w:rsid w:val="00357D45"/>
    <w:rsid w:val="00361DC5"/>
    <w:rsid w:val="00377CE6"/>
    <w:rsid w:val="00377DF3"/>
    <w:rsid w:val="003844D4"/>
    <w:rsid w:val="003850B6"/>
    <w:rsid w:val="0038614F"/>
    <w:rsid w:val="00392F88"/>
    <w:rsid w:val="00397A37"/>
    <w:rsid w:val="003A4A32"/>
    <w:rsid w:val="003A6E6D"/>
    <w:rsid w:val="003B2AC4"/>
    <w:rsid w:val="003B2B92"/>
    <w:rsid w:val="003B7577"/>
    <w:rsid w:val="003C1643"/>
    <w:rsid w:val="003C4F7F"/>
    <w:rsid w:val="003C74E0"/>
    <w:rsid w:val="003D2843"/>
    <w:rsid w:val="003D2C95"/>
    <w:rsid w:val="003D3FCC"/>
    <w:rsid w:val="003D552F"/>
    <w:rsid w:val="003E0C84"/>
    <w:rsid w:val="003E56FE"/>
    <w:rsid w:val="003E57E6"/>
    <w:rsid w:val="003F1C78"/>
    <w:rsid w:val="003F1D0B"/>
    <w:rsid w:val="003F4918"/>
    <w:rsid w:val="003F685E"/>
    <w:rsid w:val="00401553"/>
    <w:rsid w:val="00402853"/>
    <w:rsid w:val="00410522"/>
    <w:rsid w:val="004124CD"/>
    <w:rsid w:val="00413873"/>
    <w:rsid w:val="00414DF1"/>
    <w:rsid w:val="00421FE4"/>
    <w:rsid w:val="00426817"/>
    <w:rsid w:val="00427654"/>
    <w:rsid w:val="00427B14"/>
    <w:rsid w:val="00430977"/>
    <w:rsid w:val="00441E11"/>
    <w:rsid w:val="00442F58"/>
    <w:rsid w:val="00445231"/>
    <w:rsid w:val="00446207"/>
    <w:rsid w:val="00451783"/>
    <w:rsid w:val="00454531"/>
    <w:rsid w:val="00462508"/>
    <w:rsid w:val="00462A55"/>
    <w:rsid w:val="00462A66"/>
    <w:rsid w:val="00467034"/>
    <w:rsid w:val="004729D7"/>
    <w:rsid w:val="00477465"/>
    <w:rsid w:val="00477BF8"/>
    <w:rsid w:val="00481D8C"/>
    <w:rsid w:val="00482357"/>
    <w:rsid w:val="00482680"/>
    <w:rsid w:val="0048602A"/>
    <w:rsid w:val="004A2991"/>
    <w:rsid w:val="004B521F"/>
    <w:rsid w:val="004C403E"/>
    <w:rsid w:val="004C6DFB"/>
    <w:rsid w:val="004C6E40"/>
    <w:rsid w:val="004C7811"/>
    <w:rsid w:val="004D02C5"/>
    <w:rsid w:val="004D6369"/>
    <w:rsid w:val="004E01C6"/>
    <w:rsid w:val="004E2878"/>
    <w:rsid w:val="004E2B5F"/>
    <w:rsid w:val="004F1A24"/>
    <w:rsid w:val="004F77B1"/>
    <w:rsid w:val="00500BB2"/>
    <w:rsid w:val="005011CF"/>
    <w:rsid w:val="00510CD0"/>
    <w:rsid w:val="00513272"/>
    <w:rsid w:val="00514EA8"/>
    <w:rsid w:val="005154F5"/>
    <w:rsid w:val="00515617"/>
    <w:rsid w:val="00520A8C"/>
    <w:rsid w:val="00522046"/>
    <w:rsid w:val="005223A2"/>
    <w:rsid w:val="005269BF"/>
    <w:rsid w:val="00526C68"/>
    <w:rsid w:val="0053035B"/>
    <w:rsid w:val="0053503B"/>
    <w:rsid w:val="00535FA6"/>
    <w:rsid w:val="00537690"/>
    <w:rsid w:val="00540B57"/>
    <w:rsid w:val="00543A6E"/>
    <w:rsid w:val="00546FBC"/>
    <w:rsid w:val="005550D6"/>
    <w:rsid w:val="00557D09"/>
    <w:rsid w:val="00565E97"/>
    <w:rsid w:val="0056755F"/>
    <w:rsid w:val="00574946"/>
    <w:rsid w:val="0057626E"/>
    <w:rsid w:val="005818CC"/>
    <w:rsid w:val="00595DA9"/>
    <w:rsid w:val="00596C94"/>
    <w:rsid w:val="00597A7E"/>
    <w:rsid w:val="005A2633"/>
    <w:rsid w:val="005A2AF8"/>
    <w:rsid w:val="005A33C1"/>
    <w:rsid w:val="005A6B94"/>
    <w:rsid w:val="005A7032"/>
    <w:rsid w:val="005B6EE2"/>
    <w:rsid w:val="005B7A3C"/>
    <w:rsid w:val="005C17B4"/>
    <w:rsid w:val="005C2B1B"/>
    <w:rsid w:val="005C49F1"/>
    <w:rsid w:val="005D3534"/>
    <w:rsid w:val="005D67EC"/>
    <w:rsid w:val="005E2916"/>
    <w:rsid w:val="005E3192"/>
    <w:rsid w:val="005E446F"/>
    <w:rsid w:val="005E5C8A"/>
    <w:rsid w:val="005F184D"/>
    <w:rsid w:val="005F257C"/>
    <w:rsid w:val="005F3E57"/>
    <w:rsid w:val="00601CC1"/>
    <w:rsid w:val="0060505A"/>
    <w:rsid w:val="0061039B"/>
    <w:rsid w:val="006119C7"/>
    <w:rsid w:val="0061202A"/>
    <w:rsid w:val="006124D7"/>
    <w:rsid w:val="00613106"/>
    <w:rsid w:val="00614420"/>
    <w:rsid w:val="006147D5"/>
    <w:rsid w:val="00615EA4"/>
    <w:rsid w:val="006255A7"/>
    <w:rsid w:val="006264B9"/>
    <w:rsid w:val="00626D82"/>
    <w:rsid w:val="006305C9"/>
    <w:rsid w:val="006315C5"/>
    <w:rsid w:val="0063168B"/>
    <w:rsid w:val="00632128"/>
    <w:rsid w:val="00633EC9"/>
    <w:rsid w:val="0064149F"/>
    <w:rsid w:val="0064239B"/>
    <w:rsid w:val="006455B4"/>
    <w:rsid w:val="00646657"/>
    <w:rsid w:val="00661167"/>
    <w:rsid w:val="00662EE1"/>
    <w:rsid w:val="006639F5"/>
    <w:rsid w:val="00664FA0"/>
    <w:rsid w:val="00672753"/>
    <w:rsid w:val="0067367E"/>
    <w:rsid w:val="006818AF"/>
    <w:rsid w:val="006829C1"/>
    <w:rsid w:val="00683147"/>
    <w:rsid w:val="00686A14"/>
    <w:rsid w:val="00686AB5"/>
    <w:rsid w:val="00692041"/>
    <w:rsid w:val="0069350D"/>
    <w:rsid w:val="00693C9D"/>
    <w:rsid w:val="00694301"/>
    <w:rsid w:val="006958E3"/>
    <w:rsid w:val="00695961"/>
    <w:rsid w:val="006960F7"/>
    <w:rsid w:val="0069652E"/>
    <w:rsid w:val="006A0876"/>
    <w:rsid w:val="006A2C1D"/>
    <w:rsid w:val="006A4B68"/>
    <w:rsid w:val="006A641F"/>
    <w:rsid w:val="006B2226"/>
    <w:rsid w:val="006B2427"/>
    <w:rsid w:val="006B4BAE"/>
    <w:rsid w:val="006B599F"/>
    <w:rsid w:val="006B62DF"/>
    <w:rsid w:val="006B66AC"/>
    <w:rsid w:val="006B7AB0"/>
    <w:rsid w:val="006C1004"/>
    <w:rsid w:val="006C4C8B"/>
    <w:rsid w:val="006C7CAA"/>
    <w:rsid w:val="006C7F86"/>
    <w:rsid w:val="006D0224"/>
    <w:rsid w:val="006D1011"/>
    <w:rsid w:val="006D3244"/>
    <w:rsid w:val="006E0C50"/>
    <w:rsid w:val="006E0E41"/>
    <w:rsid w:val="006F0CEB"/>
    <w:rsid w:val="006F39FB"/>
    <w:rsid w:val="006F4AD8"/>
    <w:rsid w:val="0070135C"/>
    <w:rsid w:val="00704A76"/>
    <w:rsid w:val="00705DA4"/>
    <w:rsid w:val="00707E56"/>
    <w:rsid w:val="00715C87"/>
    <w:rsid w:val="00716EB6"/>
    <w:rsid w:val="00721008"/>
    <w:rsid w:val="00721F16"/>
    <w:rsid w:val="00731CBC"/>
    <w:rsid w:val="007336A1"/>
    <w:rsid w:val="0073487D"/>
    <w:rsid w:val="007410B3"/>
    <w:rsid w:val="007424CA"/>
    <w:rsid w:val="007443EC"/>
    <w:rsid w:val="00745B53"/>
    <w:rsid w:val="0075169D"/>
    <w:rsid w:val="00761E21"/>
    <w:rsid w:val="00764440"/>
    <w:rsid w:val="007716F7"/>
    <w:rsid w:val="007716FE"/>
    <w:rsid w:val="00771956"/>
    <w:rsid w:val="00774D3C"/>
    <w:rsid w:val="00775AA8"/>
    <w:rsid w:val="007767F7"/>
    <w:rsid w:val="00776B90"/>
    <w:rsid w:val="00777EB9"/>
    <w:rsid w:val="00777F65"/>
    <w:rsid w:val="00783293"/>
    <w:rsid w:val="00783F52"/>
    <w:rsid w:val="00790AA4"/>
    <w:rsid w:val="007935B8"/>
    <w:rsid w:val="00796F61"/>
    <w:rsid w:val="00797054"/>
    <w:rsid w:val="007A1FC5"/>
    <w:rsid w:val="007A6399"/>
    <w:rsid w:val="007A63DB"/>
    <w:rsid w:val="007A70E4"/>
    <w:rsid w:val="007B0900"/>
    <w:rsid w:val="007B160E"/>
    <w:rsid w:val="007B209D"/>
    <w:rsid w:val="007B3CC3"/>
    <w:rsid w:val="007B5575"/>
    <w:rsid w:val="007C408B"/>
    <w:rsid w:val="007C72A2"/>
    <w:rsid w:val="007D33D7"/>
    <w:rsid w:val="007D3BFA"/>
    <w:rsid w:val="007D5EE3"/>
    <w:rsid w:val="007D7ED2"/>
    <w:rsid w:val="007E050E"/>
    <w:rsid w:val="007E508B"/>
    <w:rsid w:val="007E61A7"/>
    <w:rsid w:val="007F0E87"/>
    <w:rsid w:val="007F1F57"/>
    <w:rsid w:val="008026B9"/>
    <w:rsid w:val="00804087"/>
    <w:rsid w:val="00810468"/>
    <w:rsid w:val="008135D3"/>
    <w:rsid w:val="00813675"/>
    <w:rsid w:val="0081777B"/>
    <w:rsid w:val="00824915"/>
    <w:rsid w:val="0082535A"/>
    <w:rsid w:val="00826C89"/>
    <w:rsid w:val="00830FB6"/>
    <w:rsid w:val="00832054"/>
    <w:rsid w:val="0083213B"/>
    <w:rsid w:val="0084256A"/>
    <w:rsid w:val="00843A0F"/>
    <w:rsid w:val="00851ACC"/>
    <w:rsid w:val="00851B9F"/>
    <w:rsid w:val="00852FF2"/>
    <w:rsid w:val="00854920"/>
    <w:rsid w:val="008601BE"/>
    <w:rsid w:val="00862012"/>
    <w:rsid w:val="00870A5A"/>
    <w:rsid w:val="00881949"/>
    <w:rsid w:val="00884B35"/>
    <w:rsid w:val="00893189"/>
    <w:rsid w:val="008A05DA"/>
    <w:rsid w:val="008A09DF"/>
    <w:rsid w:val="008B3DE9"/>
    <w:rsid w:val="008B5CB7"/>
    <w:rsid w:val="008B5EC1"/>
    <w:rsid w:val="008C0CEB"/>
    <w:rsid w:val="008C2F26"/>
    <w:rsid w:val="008C3167"/>
    <w:rsid w:val="008C353F"/>
    <w:rsid w:val="008C50E4"/>
    <w:rsid w:val="008C5A0F"/>
    <w:rsid w:val="008C6B7E"/>
    <w:rsid w:val="008D1BD4"/>
    <w:rsid w:val="008D37F9"/>
    <w:rsid w:val="008D564F"/>
    <w:rsid w:val="008E042D"/>
    <w:rsid w:val="008F0142"/>
    <w:rsid w:val="008F758C"/>
    <w:rsid w:val="00901FC7"/>
    <w:rsid w:val="00903A25"/>
    <w:rsid w:val="009155C6"/>
    <w:rsid w:val="00926B9F"/>
    <w:rsid w:val="0093060C"/>
    <w:rsid w:val="009311F2"/>
    <w:rsid w:val="00932F5B"/>
    <w:rsid w:val="00945E5E"/>
    <w:rsid w:val="00947122"/>
    <w:rsid w:val="0095725C"/>
    <w:rsid w:val="0096129E"/>
    <w:rsid w:val="0096151B"/>
    <w:rsid w:val="00967A67"/>
    <w:rsid w:val="00972A4F"/>
    <w:rsid w:val="009743FF"/>
    <w:rsid w:val="009772DA"/>
    <w:rsid w:val="00980155"/>
    <w:rsid w:val="009835C3"/>
    <w:rsid w:val="0098477F"/>
    <w:rsid w:val="00985969"/>
    <w:rsid w:val="00991F93"/>
    <w:rsid w:val="009937E1"/>
    <w:rsid w:val="00993D09"/>
    <w:rsid w:val="009A0861"/>
    <w:rsid w:val="009A0B95"/>
    <w:rsid w:val="009A5879"/>
    <w:rsid w:val="009B2F9A"/>
    <w:rsid w:val="009B3621"/>
    <w:rsid w:val="009B43BB"/>
    <w:rsid w:val="009B4F94"/>
    <w:rsid w:val="009B5118"/>
    <w:rsid w:val="009C08BF"/>
    <w:rsid w:val="009C1D43"/>
    <w:rsid w:val="009C3403"/>
    <w:rsid w:val="009C6274"/>
    <w:rsid w:val="009D4E04"/>
    <w:rsid w:val="009D553B"/>
    <w:rsid w:val="009D6C0B"/>
    <w:rsid w:val="009E13EE"/>
    <w:rsid w:val="009E2398"/>
    <w:rsid w:val="009F573A"/>
    <w:rsid w:val="009F6CB7"/>
    <w:rsid w:val="00A07EAC"/>
    <w:rsid w:val="00A14D0E"/>
    <w:rsid w:val="00A21A41"/>
    <w:rsid w:val="00A2204C"/>
    <w:rsid w:val="00A228E9"/>
    <w:rsid w:val="00A24D24"/>
    <w:rsid w:val="00A2660F"/>
    <w:rsid w:val="00A2666C"/>
    <w:rsid w:val="00A36E33"/>
    <w:rsid w:val="00A40560"/>
    <w:rsid w:val="00A44DD3"/>
    <w:rsid w:val="00A47954"/>
    <w:rsid w:val="00A557F4"/>
    <w:rsid w:val="00A6059F"/>
    <w:rsid w:val="00A62590"/>
    <w:rsid w:val="00A63EDE"/>
    <w:rsid w:val="00A64997"/>
    <w:rsid w:val="00A65114"/>
    <w:rsid w:val="00A65E92"/>
    <w:rsid w:val="00A7434C"/>
    <w:rsid w:val="00A7463C"/>
    <w:rsid w:val="00A748CD"/>
    <w:rsid w:val="00A81870"/>
    <w:rsid w:val="00A97C54"/>
    <w:rsid w:val="00AA2660"/>
    <w:rsid w:val="00AA47E5"/>
    <w:rsid w:val="00AA7157"/>
    <w:rsid w:val="00AA7A96"/>
    <w:rsid w:val="00AB05CE"/>
    <w:rsid w:val="00AC015B"/>
    <w:rsid w:val="00AC301D"/>
    <w:rsid w:val="00AC66BD"/>
    <w:rsid w:val="00AD001B"/>
    <w:rsid w:val="00AD119C"/>
    <w:rsid w:val="00AD1782"/>
    <w:rsid w:val="00AF3275"/>
    <w:rsid w:val="00AF684B"/>
    <w:rsid w:val="00B00932"/>
    <w:rsid w:val="00B02210"/>
    <w:rsid w:val="00B066BB"/>
    <w:rsid w:val="00B11BCF"/>
    <w:rsid w:val="00B20947"/>
    <w:rsid w:val="00B216B5"/>
    <w:rsid w:val="00B21C96"/>
    <w:rsid w:val="00B2221C"/>
    <w:rsid w:val="00B22931"/>
    <w:rsid w:val="00B34246"/>
    <w:rsid w:val="00B43C3F"/>
    <w:rsid w:val="00B46656"/>
    <w:rsid w:val="00B52983"/>
    <w:rsid w:val="00B544ED"/>
    <w:rsid w:val="00B575A4"/>
    <w:rsid w:val="00B65287"/>
    <w:rsid w:val="00B66739"/>
    <w:rsid w:val="00B72AD5"/>
    <w:rsid w:val="00B7689C"/>
    <w:rsid w:val="00B806AD"/>
    <w:rsid w:val="00B829C3"/>
    <w:rsid w:val="00B82D7D"/>
    <w:rsid w:val="00B8518F"/>
    <w:rsid w:val="00B9223E"/>
    <w:rsid w:val="00B9342A"/>
    <w:rsid w:val="00B946FC"/>
    <w:rsid w:val="00B948C7"/>
    <w:rsid w:val="00B95D71"/>
    <w:rsid w:val="00B96118"/>
    <w:rsid w:val="00BA14AD"/>
    <w:rsid w:val="00BA508B"/>
    <w:rsid w:val="00BA56D5"/>
    <w:rsid w:val="00BB2712"/>
    <w:rsid w:val="00BC6C14"/>
    <w:rsid w:val="00BD201C"/>
    <w:rsid w:val="00BD2DD2"/>
    <w:rsid w:val="00BD334D"/>
    <w:rsid w:val="00BD66E3"/>
    <w:rsid w:val="00BE08F7"/>
    <w:rsid w:val="00BE3FE1"/>
    <w:rsid w:val="00BF179F"/>
    <w:rsid w:val="00BF3441"/>
    <w:rsid w:val="00BF3704"/>
    <w:rsid w:val="00C05484"/>
    <w:rsid w:val="00C06107"/>
    <w:rsid w:val="00C14E5C"/>
    <w:rsid w:val="00C17010"/>
    <w:rsid w:val="00C2005A"/>
    <w:rsid w:val="00C20347"/>
    <w:rsid w:val="00C2514D"/>
    <w:rsid w:val="00C30314"/>
    <w:rsid w:val="00C30D2E"/>
    <w:rsid w:val="00C376DD"/>
    <w:rsid w:val="00C4124A"/>
    <w:rsid w:val="00C41664"/>
    <w:rsid w:val="00C42501"/>
    <w:rsid w:val="00C43106"/>
    <w:rsid w:val="00C56539"/>
    <w:rsid w:val="00C565E0"/>
    <w:rsid w:val="00C57936"/>
    <w:rsid w:val="00C63D32"/>
    <w:rsid w:val="00C6454D"/>
    <w:rsid w:val="00C708A2"/>
    <w:rsid w:val="00C720C6"/>
    <w:rsid w:val="00C830A3"/>
    <w:rsid w:val="00C932D4"/>
    <w:rsid w:val="00CA1238"/>
    <w:rsid w:val="00CA637E"/>
    <w:rsid w:val="00CB035D"/>
    <w:rsid w:val="00CB0BA1"/>
    <w:rsid w:val="00CB7829"/>
    <w:rsid w:val="00CC363B"/>
    <w:rsid w:val="00CC3BBF"/>
    <w:rsid w:val="00CC7842"/>
    <w:rsid w:val="00CD4C3D"/>
    <w:rsid w:val="00CE3A1F"/>
    <w:rsid w:val="00CE46AF"/>
    <w:rsid w:val="00CE4F41"/>
    <w:rsid w:val="00CF60D8"/>
    <w:rsid w:val="00CF64BE"/>
    <w:rsid w:val="00CF79D8"/>
    <w:rsid w:val="00CF7EB6"/>
    <w:rsid w:val="00D10681"/>
    <w:rsid w:val="00D10A93"/>
    <w:rsid w:val="00D138FA"/>
    <w:rsid w:val="00D20916"/>
    <w:rsid w:val="00D24A14"/>
    <w:rsid w:val="00D27BD5"/>
    <w:rsid w:val="00D30990"/>
    <w:rsid w:val="00D32A8B"/>
    <w:rsid w:val="00D351F6"/>
    <w:rsid w:val="00D36011"/>
    <w:rsid w:val="00D37B9D"/>
    <w:rsid w:val="00D45BF2"/>
    <w:rsid w:val="00D45CA1"/>
    <w:rsid w:val="00D4748B"/>
    <w:rsid w:val="00D553FB"/>
    <w:rsid w:val="00D62B82"/>
    <w:rsid w:val="00D62BE9"/>
    <w:rsid w:val="00D707A1"/>
    <w:rsid w:val="00D71CC8"/>
    <w:rsid w:val="00D76BD1"/>
    <w:rsid w:val="00D82F88"/>
    <w:rsid w:val="00D960EC"/>
    <w:rsid w:val="00DA085A"/>
    <w:rsid w:val="00DA2E31"/>
    <w:rsid w:val="00DB79EE"/>
    <w:rsid w:val="00DB7A49"/>
    <w:rsid w:val="00DC2780"/>
    <w:rsid w:val="00DD5310"/>
    <w:rsid w:val="00DF311C"/>
    <w:rsid w:val="00DF4496"/>
    <w:rsid w:val="00E02279"/>
    <w:rsid w:val="00E067BF"/>
    <w:rsid w:val="00E11D82"/>
    <w:rsid w:val="00E17276"/>
    <w:rsid w:val="00E2014B"/>
    <w:rsid w:val="00E27A3B"/>
    <w:rsid w:val="00E3041A"/>
    <w:rsid w:val="00E33E62"/>
    <w:rsid w:val="00E34560"/>
    <w:rsid w:val="00E4715A"/>
    <w:rsid w:val="00E51683"/>
    <w:rsid w:val="00E5726F"/>
    <w:rsid w:val="00E613B2"/>
    <w:rsid w:val="00E61887"/>
    <w:rsid w:val="00E7093D"/>
    <w:rsid w:val="00E70D98"/>
    <w:rsid w:val="00E71BD7"/>
    <w:rsid w:val="00E72735"/>
    <w:rsid w:val="00E72EA3"/>
    <w:rsid w:val="00E7776F"/>
    <w:rsid w:val="00E84B66"/>
    <w:rsid w:val="00E86D42"/>
    <w:rsid w:val="00E90AA0"/>
    <w:rsid w:val="00E92556"/>
    <w:rsid w:val="00EA2C04"/>
    <w:rsid w:val="00EA448E"/>
    <w:rsid w:val="00EB2D86"/>
    <w:rsid w:val="00EB48FF"/>
    <w:rsid w:val="00EC1382"/>
    <w:rsid w:val="00EC1DD3"/>
    <w:rsid w:val="00EC4D39"/>
    <w:rsid w:val="00EC6276"/>
    <w:rsid w:val="00EC6744"/>
    <w:rsid w:val="00ED2187"/>
    <w:rsid w:val="00ED5756"/>
    <w:rsid w:val="00ED57EA"/>
    <w:rsid w:val="00EE10DB"/>
    <w:rsid w:val="00EE28E0"/>
    <w:rsid w:val="00EE2F34"/>
    <w:rsid w:val="00EE7935"/>
    <w:rsid w:val="00EE7DE5"/>
    <w:rsid w:val="00EF08B9"/>
    <w:rsid w:val="00EF1DD3"/>
    <w:rsid w:val="00EF3553"/>
    <w:rsid w:val="00EF48C9"/>
    <w:rsid w:val="00F00716"/>
    <w:rsid w:val="00F014C1"/>
    <w:rsid w:val="00F06D9F"/>
    <w:rsid w:val="00F07931"/>
    <w:rsid w:val="00F316E5"/>
    <w:rsid w:val="00F40B65"/>
    <w:rsid w:val="00F44D55"/>
    <w:rsid w:val="00F44E31"/>
    <w:rsid w:val="00F53407"/>
    <w:rsid w:val="00F53C9D"/>
    <w:rsid w:val="00F55BFE"/>
    <w:rsid w:val="00F56925"/>
    <w:rsid w:val="00F63A64"/>
    <w:rsid w:val="00F667FB"/>
    <w:rsid w:val="00F7057D"/>
    <w:rsid w:val="00F74F8D"/>
    <w:rsid w:val="00F779C8"/>
    <w:rsid w:val="00F80C82"/>
    <w:rsid w:val="00F8208A"/>
    <w:rsid w:val="00F828F8"/>
    <w:rsid w:val="00F8655F"/>
    <w:rsid w:val="00F87B66"/>
    <w:rsid w:val="00F91BD0"/>
    <w:rsid w:val="00FA06BA"/>
    <w:rsid w:val="00FA3060"/>
    <w:rsid w:val="00FA3C00"/>
    <w:rsid w:val="00FB656E"/>
    <w:rsid w:val="00FC0E2D"/>
    <w:rsid w:val="00FC2638"/>
    <w:rsid w:val="00FC77FC"/>
    <w:rsid w:val="00FD00A9"/>
    <w:rsid w:val="00FD77B0"/>
    <w:rsid w:val="00FE1F9F"/>
    <w:rsid w:val="00FE20E5"/>
    <w:rsid w:val="00FE3F49"/>
    <w:rsid w:val="00FE5A97"/>
    <w:rsid w:val="00FF02E2"/>
    <w:rsid w:val="00FF2527"/>
    <w:rsid w:val="00FF39F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3C178"/>
  <w15:chartTrackingRefBased/>
  <w15:docId w15:val="{6C7FAC54-7DAC-42EA-855E-982E8CD1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67B"/>
    <w:rPr>
      <w:sz w:val="24"/>
    </w:rPr>
  </w:style>
  <w:style w:type="paragraph" w:styleId="Heading1">
    <w:name w:val="heading 1"/>
    <w:basedOn w:val="Normal"/>
    <w:next w:val="Normal"/>
    <w:link w:val="Heading1Char"/>
    <w:autoRedefine/>
    <w:uiPriority w:val="9"/>
    <w:qFormat/>
    <w:rsid w:val="00A24D24"/>
    <w:pPr>
      <w:keepNext/>
      <w:keepLines/>
      <w:numPr>
        <w:numId w:val="4"/>
      </w:numPr>
      <w:pBdr>
        <w:top w:val="single" w:sz="24" w:space="1" w:color="0067B6"/>
        <w:left w:val="single" w:sz="24" w:space="4" w:color="0067B6"/>
        <w:bottom w:val="single" w:sz="24" w:space="1" w:color="0067B6"/>
        <w:right w:val="single" w:sz="24" w:space="4" w:color="0067B6"/>
      </w:pBdr>
      <w:spacing w:before="240" w:after="240"/>
      <w:jc w:val="center"/>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9"/>
    <w:unhideWhenUsed/>
    <w:qFormat/>
    <w:rsid w:val="002447F6"/>
    <w:pPr>
      <w:keepNext/>
      <w:keepLines/>
      <w:shd w:val="clear" w:color="auto" w:fill="FFD1AF" w:themeFill="background2"/>
      <w:spacing w:before="360" w:after="240"/>
      <w:outlineLvl w:val="1"/>
    </w:pPr>
    <w:rPr>
      <w:rFonts w:eastAsiaTheme="majorEastAsia" w:cstheme="majorBidi"/>
      <w:b/>
      <w:color w:val="000000" w:themeColor="text1"/>
      <w:sz w:val="28"/>
      <w:szCs w:val="26"/>
    </w:rPr>
  </w:style>
  <w:style w:type="paragraph" w:styleId="Heading3">
    <w:name w:val="heading 3"/>
    <w:basedOn w:val="Normal"/>
    <w:next w:val="Normal"/>
    <w:link w:val="Heading3Char"/>
    <w:autoRedefine/>
    <w:uiPriority w:val="9"/>
    <w:unhideWhenUsed/>
    <w:qFormat/>
    <w:rsid w:val="00A24D24"/>
    <w:pPr>
      <w:keepNext/>
      <w:keepLines/>
      <w:numPr>
        <w:numId w:val="24"/>
      </w:numPr>
      <w:shd w:val="clear" w:color="auto" w:fill="FFD1AF" w:themeFill="background2"/>
      <w:spacing w:before="360" w:after="120"/>
      <w:outlineLvl w:val="2"/>
    </w:pPr>
    <w:rPr>
      <w:rFonts w:asciiTheme="majorHAnsi" w:eastAsiaTheme="majorEastAsia" w:hAnsiTheme="majorHAnsi" w:cstheme="majorBidi"/>
      <w:b/>
      <w:color w:val="00335B" w:themeColor="text2" w:themeShade="80"/>
      <w:szCs w:val="24"/>
    </w:rPr>
  </w:style>
  <w:style w:type="paragraph" w:styleId="Heading4">
    <w:name w:val="heading 4"/>
    <w:basedOn w:val="Normal"/>
    <w:next w:val="Normal"/>
    <w:link w:val="Heading4Char"/>
    <w:uiPriority w:val="9"/>
    <w:unhideWhenUsed/>
    <w:qFormat/>
    <w:rsid w:val="007E050E"/>
    <w:pPr>
      <w:keepNext/>
      <w:keepLines/>
      <w:numPr>
        <w:ilvl w:val="3"/>
        <w:numId w:val="4"/>
      </w:numPr>
      <w:spacing w:before="240" w:after="120"/>
      <w:outlineLvl w:val="3"/>
    </w:pPr>
    <w:rPr>
      <w:rFonts w:asciiTheme="majorHAnsi" w:eastAsiaTheme="majorEastAsia" w:hAnsiTheme="majorHAnsi" w:cstheme="majorBidi"/>
      <w:b/>
      <w:iCs/>
      <w:color w:val="0060A9" w:themeColor="accent1" w:themeShade="80"/>
    </w:rPr>
  </w:style>
  <w:style w:type="paragraph" w:styleId="Heading5">
    <w:name w:val="heading 5"/>
    <w:basedOn w:val="Normal"/>
    <w:next w:val="Normal"/>
    <w:link w:val="Heading5Char"/>
    <w:uiPriority w:val="9"/>
    <w:unhideWhenUsed/>
    <w:qFormat/>
    <w:rsid w:val="0015298B"/>
    <w:pPr>
      <w:keepNext/>
      <w:keepLines/>
      <w:numPr>
        <w:ilvl w:val="4"/>
        <w:numId w:val="4"/>
      </w:numPr>
      <w:spacing w:before="40" w:after="0"/>
      <w:outlineLvl w:val="4"/>
    </w:pPr>
    <w:rPr>
      <w:rFonts w:asciiTheme="majorHAnsi" w:eastAsiaTheme="majorEastAsia" w:hAnsiTheme="majorHAnsi" w:cstheme="majorBidi"/>
      <w:color w:val="004C88" w:themeColor="text2" w:themeShade="BF"/>
    </w:rPr>
  </w:style>
  <w:style w:type="paragraph" w:styleId="Heading6">
    <w:name w:val="heading 6"/>
    <w:basedOn w:val="Normal"/>
    <w:next w:val="Normal"/>
    <w:link w:val="Heading6Char"/>
    <w:uiPriority w:val="9"/>
    <w:unhideWhenUsed/>
    <w:qFormat/>
    <w:rsid w:val="00242148"/>
    <w:pPr>
      <w:keepNext/>
      <w:keepLines/>
      <w:numPr>
        <w:ilvl w:val="5"/>
        <w:numId w:val="4"/>
      </w:numPr>
      <w:spacing w:before="40" w:after="0"/>
      <w:outlineLvl w:val="5"/>
    </w:pPr>
    <w:rPr>
      <w:rFonts w:asciiTheme="majorHAnsi" w:eastAsiaTheme="majorEastAsia" w:hAnsiTheme="majorHAnsi" w:cstheme="majorBidi"/>
      <w:color w:val="005FA8" w:themeColor="accent1" w:themeShade="7F"/>
    </w:rPr>
  </w:style>
  <w:style w:type="paragraph" w:styleId="Heading7">
    <w:name w:val="heading 7"/>
    <w:basedOn w:val="Normal"/>
    <w:next w:val="Normal"/>
    <w:link w:val="Heading7Char"/>
    <w:uiPriority w:val="9"/>
    <w:semiHidden/>
    <w:unhideWhenUsed/>
    <w:qFormat/>
    <w:rsid w:val="00242148"/>
    <w:pPr>
      <w:keepNext/>
      <w:keepLines/>
      <w:numPr>
        <w:ilvl w:val="6"/>
        <w:numId w:val="4"/>
      </w:numPr>
      <w:spacing w:before="40" w:after="0"/>
      <w:outlineLvl w:val="6"/>
    </w:pPr>
    <w:rPr>
      <w:rFonts w:asciiTheme="majorHAnsi" w:eastAsiaTheme="majorEastAsia" w:hAnsiTheme="majorHAnsi" w:cstheme="majorBidi"/>
      <w:i/>
      <w:iCs/>
      <w:color w:val="005FA8" w:themeColor="accent1" w:themeShade="7F"/>
    </w:rPr>
  </w:style>
  <w:style w:type="paragraph" w:styleId="Heading8">
    <w:name w:val="heading 8"/>
    <w:basedOn w:val="Normal"/>
    <w:next w:val="Normal"/>
    <w:link w:val="Heading8Char"/>
    <w:uiPriority w:val="9"/>
    <w:semiHidden/>
    <w:unhideWhenUsed/>
    <w:qFormat/>
    <w:rsid w:val="00242148"/>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42148"/>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8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8FA"/>
    <w:rPr>
      <w:sz w:val="24"/>
    </w:rPr>
  </w:style>
  <w:style w:type="paragraph" w:styleId="Footer">
    <w:name w:val="footer"/>
    <w:basedOn w:val="Normal"/>
    <w:link w:val="FooterChar"/>
    <w:uiPriority w:val="99"/>
    <w:unhideWhenUsed/>
    <w:qFormat/>
    <w:rsid w:val="00D138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8FA"/>
    <w:rPr>
      <w:sz w:val="24"/>
    </w:rPr>
  </w:style>
  <w:style w:type="character" w:customStyle="1" w:styleId="Heading1Char">
    <w:name w:val="Heading 1 Char"/>
    <w:basedOn w:val="DefaultParagraphFont"/>
    <w:link w:val="Heading1"/>
    <w:uiPriority w:val="9"/>
    <w:rsid w:val="00A24D24"/>
    <w:rPr>
      <w:rFonts w:asciiTheme="majorHAnsi" w:eastAsiaTheme="majorEastAsia" w:hAnsiTheme="majorHAnsi" w:cstheme="majorBidi"/>
      <w:b/>
      <w:sz w:val="36"/>
      <w:szCs w:val="32"/>
    </w:rPr>
  </w:style>
  <w:style w:type="paragraph" w:styleId="ListParagraph">
    <w:name w:val="List Paragraph"/>
    <w:basedOn w:val="Normal"/>
    <w:uiPriority w:val="34"/>
    <w:qFormat/>
    <w:rsid w:val="00B948C7"/>
    <w:pPr>
      <w:spacing w:after="240"/>
      <w:ind w:left="720"/>
    </w:pPr>
  </w:style>
  <w:style w:type="character" w:styleId="Hyperlink">
    <w:name w:val="Hyperlink"/>
    <w:basedOn w:val="DefaultParagraphFont"/>
    <w:uiPriority w:val="99"/>
    <w:unhideWhenUsed/>
    <w:rsid w:val="00EE7DE5"/>
    <w:rPr>
      <w:color w:val="2E74B5" w:themeColor="hyperlink"/>
      <w:u w:val="single"/>
    </w:rPr>
  </w:style>
  <w:style w:type="character" w:customStyle="1" w:styleId="Heading2Char">
    <w:name w:val="Heading 2 Char"/>
    <w:basedOn w:val="DefaultParagraphFont"/>
    <w:link w:val="Heading2"/>
    <w:uiPriority w:val="9"/>
    <w:rsid w:val="00A24D24"/>
    <w:rPr>
      <w:rFonts w:eastAsiaTheme="majorEastAsia" w:cstheme="majorBidi"/>
      <w:b/>
      <w:color w:val="000000" w:themeColor="text1"/>
      <w:sz w:val="28"/>
      <w:szCs w:val="26"/>
      <w:shd w:val="clear" w:color="auto" w:fill="FFD1AF" w:themeFill="background2"/>
    </w:rPr>
  </w:style>
  <w:style w:type="character" w:customStyle="1" w:styleId="Heading3Char">
    <w:name w:val="Heading 3 Char"/>
    <w:basedOn w:val="DefaultParagraphFont"/>
    <w:link w:val="Heading3"/>
    <w:uiPriority w:val="9"/>
    <w:rsid w:val="00A24D24"/>
    <w:rPr>
      <w:rFonts w:asciiTheme="majorHAnsi" w:eastAsiaTheme="majorEastAsia" w:hAnsiTheme="majorHAnsi" w:cstheme="majorBidi"/>
      <w:b/>
      <w:color w:val="00335B" w:themeColor="text2" w:themeShade="80"/>
      <w:sz w:val="24"/>
      <w:szCs w:val="24"/>
      <w:shd w:val="clear" w:color="auto" w:fill="FFD1AF" w:themeFill="background2"/>
    </w:rPr>
  </w:style>
  <w:style w:type="character" w:customStyle="1" w:styleId="Heading4Char">
    <w:name w:val="Heading 4 Char"/>
    <w:basedOn w:val="DefaultParagraphFont"/>
    <w:link w:val="Heading4"/>
    <w:uiPriority w:val="9"/>
    <w:rsid w:val="007E050E"/>
    <w:rPr>
      <w:rFonts w:asciiTheme="majorHAnsi" w:eastAsiaTheme="majorEastAsia" w:hAnsiTheme="majorHAnsi" w:cstheme="majorBidi"/>
      <w:b/>
      <w:iCs/>
      <w:color w:val="0060A9" w:themeColor="accent1" w:themeShade="80"/>
      <w:sz w:val="24"/>
    </w:rPr>
  </w:style>
  <w:style w:type="character" w:styleId="UnresolvedMention">
    <w:name w:val="Unresolved Mention"/>
    <w:basedOn w:val="DefaultParagraphFont"/>
    <w:uiPriority w:val="99"/>
    <w:semiHidden/>
    <w:unhideWhenUsed/>
    <w:rsid w:val="000E31DC"/>
    <w:rPr>
      <w:color w:val="605E5C"/>
      <w:shd w:val="clear" w:color="auto" w:fill="E1DFDD"/>
    </w:rPr>
  </w:style>
  <w:style w:type="paragraph" w:styleId="IntenseQuote">
    <w:name w:val="Intense Quote"/>
    <w:basedOn w:val="Normal"/>
    <w:next w:val="Normal"/>
    <w:link w:val="IntenseQuoteChar"/>
    <w:uiPriority w:val="30"/>
    <w:qFormat/>
    <w:rsid w:val="00A557F4"/>
    <w:pPr>
      <w:pBdr>
        <w:top w:val="single" w:sz="4" w:space="10" w:color="53B5FF" w:themeColor="accent1"/>
        <w:bottom w:val="single" w:sz="4" w:space="10" w:color="53B5FF" w:themeColor="accent1"/>
      </w:pBdr>
      <w:shd w:val="clear" w:color="auto" w:fill="FEF6F0"/>
      <w:spacing w:before="240" w:after="240"/>
      <w:ind w:left="284" w:right="284"/>
      <w:jc w:val="center"/>
    </w:pPr>
    <w:rPr>
      <w:iCs/>
      <w:color w:val="00335B" w:themeColor="text2" w:themeShade="80"/>
    </w:rPr>
  </w:style>
  <w:style w:type="character" w:customStyle="1" w:styleId="IntenseQuoteChar">
    <w:name w:val="Intense Quote Char"/>
    <w:basedOn w:val="DefaultParagraphFont"/>
    <w:link w:val="IntenseQuote"/>
    <w:uiPriority w:val="30"/>
    <w:rsid w:val="00A557F4"/>
    <w:rPr>
      <w:iCs/>
      <w:color w:val="00335B" w:themeColor="text2" w:themeShade="80"/>
      <w:sz w:val="24"/>
      <w:shd w:val="clear" w:color="auto" w:fill="FEF6F0"/>
    </w:rPr>
  </w:style>
  <w:style w:type="character" w:styleId="FollowedHyperlink">
    <w:name w:val="FollowedHyperlink"/>
    <w:basedOn w:val="DefaultParagraphFont"/>
    <w:uiPriority w:val="99"/>
    <w:semiHidden/>
    <w:unhideWhenUsed/>
    <w:rsid w:val="005E2916"/>
    <w:rPr>
      <w:color w:val="954F72" w:themeColor="followedHyperlink"/>
      <w:u w:val="single"/>
    </w:rPr>
  </w:style>
  <w:style w:type="character" w:styleId="CommentReference">
    <w:name w:val="annotation reference"/>
    <w:basedOn w:val="DefaultParagraphFont"/>
    <w:uiPriority w:val="99"/>
    <w:semiHidden/>
    <w:unhideWhenUsed/>
    <w:rsid w:val="00A7434C"/>
    <w:rPr>
      <w:sz w:val="16"/>
      <w:szCs w:val="16"/>
    </w:rPr>
  </w:style>
  <w:style w:type="paragraph" w:styleId="CommentText">
    <w:name w:val="annotation text"/>
    <w:basedOn w:val="Normal"/>
    <w:link w:val="CommentTextChar"/>
    <w:uiPriority w:val="99"/>
    <w:semiHidden/>
    <w:unhideWhenUsed/>
    <w:rsid w:val="00A7434C"/>
    <w:pPr>
      <w:spacing w:line="240" w:lineRule="auto"/>
    </w:pPr>
    <w:rPr>
      <w:sz w:val="20"/>
      <w:szCs w:val="20"/>
    </w:rPr>
  </w:style>
  <w:style w:type="character" w:customStyle="1" w:styleId="CommentTextChar">
    <w:name w:val="Comment Text Char"/>
    <w:basedOn w:val="DefaultParagraphFont"/>
    <w:link w:val="CommentText"/>
    <w:uiPriority w:val="99"/>
    <w:semiHidden/>
    <w:rsid w:val="00A7434C"/>
    <w:rPr>
      <w:sz w:val="20"/>
      <w:szCs w:val="20"/>
    </w:rPr>
  </w:style>
  <w:style w:type="paragraph" w:styleId="CommentSubject">
    <w:name w:val="annotation subject"/>
    <w:basedOn w:val="CommentText"/>
    <w:next w:val="CommentText"/>
    <w:link w:val="CommentSubjectChar"/>
    <w:uiPriority w:val="99"/>
    <w:semiHidden/>
    <w:unhideWhenUsed/>
    <w:rsid w:val="00A7434C"/>
    <w:rPr>
      <w:b/>
      <w:bCs/>
    </w:rPr>
  </w:style>
  <w:style w:type="character" w:customStyle="1" w:styleId="CommentSubjectChar">
    <w:name w:val="Comment Subject Char"/>
    <w:basedOn w:val="CommentTextChar"/>
    <w:link w:val="CommentSubject"/>
    <w:uiPriority w:val="99"/>
    <w:semiHidden/>
    <w:rsid w:val="00A7434C"/>
    <w:rPr>
      <w:b/>
      <w:bCs/>
      <w:sz w:val="20"/>
      <w:szCs w:val="20"/>
    </w:rPr>
  </w:style>
  <w:style w:type="paragraph" w:styleId="BalloonText">
    <w:name w:val="Balloon Text"/>
    <w:basedOn w:val="Normal"/>
    <w:link w:val="BalloonTextChar"/>
    <w:uiPriority w:val="99"/>
    <w:semiHidden/>
    <w:unhideWhenUsed/>
    <w:rsid w:val="00A74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34C"/>
    <w:rPr>
      <w:rFonts w:ascii="Segoe UI" w:hAnsi="Segoe UI" w:cs="Segoe UI"/>
      <w:sz w:val="18"/>
      <w:szCs w:val="18"/>
    </w:rPr>
  </w:style>
  <w:style w:type="paragraph" w:customStyle="1" w:styleId="Default">
    <w:name w:val="Default"/>
    <w:rsid w:val="00E613B2"/>
    <w:pPr>
      <w:autoSpaceDE w:val="0"/>
      <w:autoSpaceDN w:val="0"/>
      <w:adjustRightInd w:val="0"/>
      <w:spacing w:after="0" w:line="240" w:lineRule="auto"/>
    </w:pPr>
    <w:rPr>
      <w:rFonts w:ascii="Arial" w:hAnsi="Arial" w:cs="Arial"/>
      <w:color w:val="000000"/>
      <w:sz w:val="24"/>
      <w:szCs w:val="24"/>
    </w:rPr>
  </w:style>
  <w:style w:type="paragraph" w:styleId="Quote">
    <w:name w:val="Quote"/>
    <w:basedOn w:val="Normal"/>
    <w:next w:val="Normal"/>
    <w:link w:val="QuoteChar"/>
    <w:uiPriority w:val="29"/>
    <w:qFormat/>
    <w:rsid w:val="00A557F4"/>
    <w:pPr>
      <w:pBdr>
        <w:top w:val="single" w:sz="4" w:space="10" w:color="auto"/>
        <w:bottom w:val="single" w:sz="4" w:space="10" w:color="auto"/>
      </w:pBdr>
      <w:shd w:val="clear" w:color="auto" w:fill="EFFAFF"/>
      <w:spacing w:before="240" w:after="240"/>
      <w:ind w:left="284" w:right="284"/>
      <w:jc w:val="center"/>
    </w:pPr>
    <w:rPr>
      <w:iCs/>
      <w:color w:val="00335B" w:themeColor="text2" w:themeShade="80"/>
    </w:rPr>
  </w:style>
  <w:style w:type="character" w:customStyle="1" w:styleId="QuoteChar">
    <w:name w:val="Quote Char"/>
    <w:basedOn w:val="DefaultParagraphFont"/>
    <w:link w:val="Quote"/>
    <w:uiPriority w:val="29"/>
    <w:rsid w:val="00A557F4"/>
    <w:rPr>
      <w:iCs/>
      <w:color w:val="00335B" w:themeColor="text2" w:themeShade="80"/>
      <w:sz w:val="24"/>
      <w:shd w:val="clear" w:color="auto" w:fill="EFFAFF"/>
    </w:rPr>
  </w:style>
  <w:style w:type="character" w:customStyle="1" w:styleId="Heading5Char">
    <w:name w:val="Heading 5 Char"/>
    <w:basedOn w:val="DefaultParagraphFont"/>
    <w:link w:val="Heading5"/>
    <w:uiPriority w:val="9"/>
    <w:rsid w:val="0015298B"/>
    <w:rPr>
      <w:rFonts w:asciiTheme="majorHAnsi" w:eastAsiaTheme="majorEastAsia" w:hAnsiTheme="majorHAnsi" w:cstheme="majorBidi"/>
      <w:color w:val="004C88" w:themeColor="text2" w:themeShade="BF"/>
      <w:sz w:val="24"/>
    </w:rPr>
  </w:style>
  <w:style w:type="character" w:customStyle="1" w:styleId="Heading6Char">
    <w:name w:val="Heading 6 Char"/>
    <w:basedOn w:val="DefaultParagraphFont"/>
    <w:link w:val="Heading6"/>
    <w:uiPriority w:val="9"/>
    <w:rsid w:val="00242148"/>
    <w:rPr>
      <w:rFonts w:asciiTheme="majorHAnsi" w:eastAsiaTheme="majorEastAsia" w:hAnsiTheme="majorHAnsi" w:cstheme="majorBidi"/>
      <w:color w:val="005FA8" w:themeColor="accent1" w:themeShade="7F"/>
      <w:sz w:val="24"/>
    </w:rPr>
  </w:style>
  <w:style w:type="character" w:customStyle="1" w:styleId="Heading7Char">
    <w:name w:val="Heading 7 Char"/>
    <w:basedOn w:val="DefaultParagraphFont"/>
    <w:link w:val="Heading7"/>
    <w:uiPriority w:val="9"/>
    <w:semiHidden/>
    <w:rsid w:val="00242148"/>
    <w:rPr>
      <w:rFonts w:asciiTheme="majorHAnsi" w:eastAsiaTheme="majorEastAsia" w:hAnsiTheme="majorHAnsi" w:cstheme="majorBidi"/>
      <w:i/>
      <w:iCs/>
      <w:color w:val="005FA8" w:themeColor="accent1" w:themeShade="7F"/>
      <w:sz w:val="24"/>
    </w:rPr>
  </w:style>
  <w:style w:type="character" w:customStyle="1" w:styleId="Heading8Char">
    <w:name w:val="Heading 8 Char"/>
    <w:basedOn w:val="DefaultParagraphFont"/>
    <w:link w:val="Heading8"/>
    <w:uiPriority w:val="9"/>
    <w:semiHidden/>
    <w:rsid w:val="0024214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42148"/>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0B13C2"/>
    <w:pPr>
      <w:spacing w:after="200" w:line="240" w:lineRule="auto"/>
    </w:pPr>
    <w:rPr>
      <w:i/>
      <w:iCs/>
      <w:color w:val="0067B6" w:themeColor="text2"/>
      <w:sz w:val="18"/>
      <w:szCs w:val="18"/>
    </w:rPr>
  </w:style>
  <w:style w:type="paragraph" w:styleId="EndnoteText">
    <w:name w:val="endnote text"/>
    <w:basedOn w:val="Normal"/>
    <w:link w:val="EndnoteTextChar"/>
    <w:uiPriority w:val="99"/>
    <w:semiHidden/>
    <w:unhideWhenUsed/>
    <w:rsid w:val="000B13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B13C2"/>
    <w:rPr>
      <w:sz w:val="20"/>
      <w:szCs w:val="20"/>
    </w:rPr>
  </w:style>
  <w:style w:type="character" w:styleId="EndnoteReference">
    <w:name w:val="endnote reference"/>
    <w:basedOn w:val="DefaultParagraphFont"/>
    <w:uiPriority w:val="99"/>
    <w:semiHidden/>
    <w:unhideWhenUsed/>
    <w:rsid w:val="000B13C2"/>
    <w:rPr>
      <w:vertAlign w:val="superscript"/>
    </w:rPr>
  </w:style>
  <w:style w:type="paragraph" w:styleId="NormalWeb">
    <w:name w:val="Normal (Web)"/>
    <w:basedOn w:val="Normal"/>
    <w:uiPriority w:val="99"/>
    <w:unhideWhenUsed/>
    <w:rsid w:val="006455B4"/>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9440">
      <w:bodyDiv w:val="1"/>
      <w:marLeft w:val="0"/>
      <w:marRight w:val="0"/>
      <w:marTop w:val="0"/>
      <w:marBottom w:val="0"/>
      <w:divBdr>
        <w:top w:val="none" w:sz="0" w:space="0" w:color="auto"/>
        <w:left w:val="none" w:sz="0" w:space="0" w:color="auto"/>
        <w:bottom w:val="none" w:sz="0" w:space="0" w:color="auto"/>
        <w:right w:val="none" w:sz="0" w:space="0" w:color="auto"/>
      </w:divBdr>
    </w:div>
    <w:div w:id="607781162">
      <w:bodyDiv w:val="1"/>
      <w:marLeft w:val="0"/>
      <w:marRight w:val="0"/>
      <w:marTop w:val="0"/>
      <w:marBottom w:val="0"/>
      <w:divBdr>
        <w:top w:val="none" w:sz="0" w:space="0" w:color="auto"/>
        <w:left w:val="none" w:sz="0" w:space="0" w:color="auto"/>
        <w:bottom w:val="none" w:sz="0" w:space="0" w:color="auto"/>
        <w:right w:val="none" w:sz="0" w:space="0" w:color="auto"/>
      </w:divBdr>
    </w:div>
    <w:div w:id="691998871">
      <w:bodyDiv w:val="1"/>
      <w:marLeft w:val="0"/>
      <w:marRight w:val="0"/>
      <w:marTop w:val="0"/>
      <w:marBottom w:val="0"/>
      <w:divBdr>
        <w:top w:val="none" w:sz="0" w:space="0" w:color="auto"/>
        <w:left w:val="none" w:sz="0" w:space="0" w:color="auto"/>
        <w:bottom w:val="none" w:sz="0" w:space="0" w:color="auto"/>
        <w:right w:val="none" w:sz="0" w:space="0" w:color="auto"/>
      </w:divBdr>
    </w:div>
    <w:div w:id="1268853426">
      <w:bodyDiv w:val="1"/>
      <w:marLeft w:val="0"/>
      <w:marRight w:val="0"/>
      <w:marTop w:val="0"/>
      <w:marBottom w:val="0"/>
      <w:divBdr>
        <w:top w:val="none" w:sz="0" w:space="0" w:color="auto"/>
        <w:left w:val="none" w:sz="0" w:space="0" w:color="auto"/>
        <w:bottom w:val="none" w:sz="0" w:space="0" w:color="auto"/>
        <w:right w:val="none" w:sz="0" w:space="0" w:color="auto"/>
      </w:divBdr>
    </w:div>
    <w:div w:id="1491554754">
      <w:bodyDiv w:val="1"/>
      <w:marLeft w:val="0"/>
      <w:marRight w:val="0"/>
      <w:marTop w:val="0"/>
      <w:marBottom w:val="0"/>
      <w:divBdr>
        <w:top w:val="none" w:sz="0" w:space="0" w:color="auto"/>
        <w:left w:val="none" w:sz="0" w:space="0" w:color="auto"/>
        <w:bottom w:val="none" w:sz="0" w:space="0" w:color="auto"/>
        <w:right w:val="none" w:sz="0" w:space="0" w:color="auto"/>
      </w:divBdr>
    </w:div>
    <w:div w:id="1813251790">
      <w:bodyDiv w:val="1"/>
      <w:marLeft w:val="0"/>
      <w:marRight w:val="0"/>
      <w:marTop w:val="0"/>
      <w:marBottom w:val="0"/>
      <w:divBdr>
        <w:top w:val="none" w:sz="0" w:space="0" w:color="auto"/>
        <w:left w:val="none" w:sz="0" w:space="0" w:color="auto"/>
        <w:bottom w:val="none" w:sz="0" w:space="0" w:color="auto"/>
        <w:right w:val="none" w:sz="0" w:space="0" w:color="auto"/>
      </w:divBdr>
    </w:div>
    <w:div w:id="181680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consultations/reviewing-the-law-for-powered-mobility-devices/reviewing-the-law-for-powered-mobility-devices" TargetMode="External"/><Relationship Id="rId18" Type="http://schemas.openxmlformats.org/officeDocument/2006/relationships/hyperlink" Target="https://wheelsforwellbeing.org.uk/our-campaigns/campaigning/mobility-aid-legal-changes-every-journey-everyon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heelsforwellbeing.org.uk/right-to-use-prams-pushchairs/" TargetMode="External"/><Relationship Id="rId17" Type="http://schemas.openxmlformats.org/officeDocument/2006/relationships/hyperlink" Target="https://discord.gg/SG4mqJbAA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nfo@wheelsforwellbeing.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heelsforwellbeing.org.uk/we-think-people-who-use-mobility-scooters-should-be-allowed-to-carry-friends-and-famil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heelsforwellbeing.org.uk/our-campaigns/campaigning/mobility-aid-legal-changes-every-journey-everyone/" TargetMode="External"/><Relationship Id="rId23" Type="http://schemas.openxmlformats.org/officeDocument/2006/relationships/footer" Target="footer2.xml"/><Relationship Id="rId10" Type="http://schemas.openxmlformats.org/officeDocument/2006/relationships/hyperlink" Target="https://wheelsforwellbeing.org.uk/disabled-children-powered-aids/" TargetMode="External"/><Relationship Id="rId19" Type="http://schemas.openxmlformats.org/officeDocument/2006/relationships/hyperlink" Target="https://wheelsforwellbeing.org.uk/donations-and-fundraising/donate/" TargetMode="External"/><Relationship Id="rId4" Type="http://schemas.openxmlformats.org/officeDocument/2006/relationships/settings" Target="settings.xml"/><Relationship Id="rId9" Type="http://schemas.openxmlformats.org/officeDocument/2006/relationships/hyperlink" Target="https://wheelsforwellbeing.org.uk/mobility-aid-users-cycle-tracks/" TargetMode="External"/><Relationship Id="rId14" Type="http://schemas.openxmlformats.org/officeDocument/2006/relationships/hyperlink" Target="https://www.gov.uk/government/consultations/reviewing-the-law-for-powered-mobility-devices/reviewing-the-law-for-powered-mobility-devices" TargetMode="External"/><Relationship Id="rId22" Type="http://schemas.openxmlformats.org/officeDocument/2006/relationships/header" Target="header2.xml"/></Relationships>
</file>

<file path=word/_rels/endnotes.xml.rels><?xml version="1.0" encoding="UTF-8" standalone="yes"?>
<Relationships xmlns="http://schemas.openxmlformats.org/package/2006/relationships"><Relationship Id="rId8" Type="http://schemas.openxmlformats.org/officeDocument/2006/relationships/hyperlink" Target="https://knowledge.bsigroup.com/products/electrically-powered-wheelchairs-scooters-and-their-chargers-requirements-and-test-methods" TargetMode="External"/><Relationship Id="rId13" Type="http://schemas.openxmlformats.org/officeDocument/2006/relationships/hyperlink" Target="https://wheelsforwellbeing.org.uk/wheels-for-wellbeing-quick-guide-to-the-equality-act-2010/" TargetMode="External"/><Relationship Id="rId3" Type="http://schemas.openxmlformats.org/officeDocument/2006/relationships/hyperlink" Target="https://www.gov.uk/mobility-scooters-and-powered-wheelchairs-rules/driving-on-the-road" TargetMode="External"/><Relationship Id="rId7" Type="http://schemas.openxmlformats.org/officeDocument/2006/relationships/hyperlink" Target="https://www.johnpreston.co.uk/blog/post/what-are-the-laws-on-use-of-wheelchair-power-attachments" TargetMode="External"/><Relationship Id="rId12" Type="http://schemas.openxmlformats.org/officeDocument/2006/relationships/hyperlink" Target="https://www.gov.uk/government/publications/e-scooter-trials-guidance-for-local-areas-and-rental-operators/e-scooter-trials-guidance-for-local-areas-and-rental-operators" TargetMode="External"/><Relationship Id="rId2" Type="http://schemas.openxmlformats.org/officeDocument/2006/relationships/hyperlink" Target="https://wheelsforwellbeing.org.uk/wheels-for-wellbeing-guide-to-mobility-aids-2/" TargetMode="External"/><Relationship Id="rId1" Type="http://schemas.openxmlformats.org/officeDocument/2006/relationships/hyperlink" Target="https://www.gov.uk/mobility-scooters-and-powered-wheelchairs-rules" TargetMode="External"/><Relationship Id="rId6" Type="http://schemas.openxmlformats.org/officeDocument/2006/relationships/hyperlink" Target="https://www.gov.uk/mobility-scooters-and-powered-wheelchairs-rules/driving-on-the-road" TargetMode="External"/><Relationship Id="rId11" Type="http://schemas.openxmlformats.org/officeDocument/2006/relationships/hyperlink" Target="https://monarchmobility.com/blog/can-you-use-a-mobility-scooter-in-the-rain/?srsltid=AfmBOorJUojYc78AE3gd9eMHroHkCl7-NIMNQWJgRKvA_WEbPBpIO_El" TargetMode="External"/><Relationship Id="rId5" Type="http://schemas.openxmlformats.org/officeDocument/2006/relationships/hyperlink" Target="https://wheelsforwellbeing.org.uk/wheels-for-wellbeing-guide-to-mobility-aids-2/" TargetMode="External"/><Relationship Id="rId15" Type="http://schemas.openxmlformats.org/officeDocument/2006/relationships/hyperlink" Target="https://www.un.org/development/desa/disabilities/convention-on-the-rights-of-persons-with-disabilities/article-20-personal-mobility.html" TargetMode="External"/><Relationship Id="rId10" Type="http://schemas.openxmlformats.org/officeDocument/2006/relationships/hyperlink" Target="https://www.mobilitysmart.co.uk/blog/can-i-use-my-mobility-scooter-in-the-rain-heres-what-the-law-and-science-says" TargetMode="External"/><Relationship Id="rId4" Type="http://schemas.openxmlformats.org/officeDocument/2006/relationships/hyperlink" Target="https://www.bbc.co.uk/news/articles/c5y7dpwle4yo" TargetMode="External"/><Relationship Id="rId9" Type="http://schemas.openxmlformats.org/officeDocument/2006/relationships/hyperlink" Target="https://www.en-standard.eu/search/?q=7176" TargetMode="External"/><Relationship Id="rId14" Type="http://schemas.openxmlformats.org/officeDocument/2006/relationships/hyperlink" Target="https://wheelsforwellbeing.org.uk/wheels-for-wellbeing-quick-guide-to-the-public-sector-equality-dut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Wheels1">
  <a:themeElements>
    <a:clrScheme name="WfW2025">
      <a:dk1>
        <a:sysClr val="windowText" lastClr="000000"/>
      </a:dk1>
      <a:lt1>
        <a:sysClr val="window" lastClr="FFFFFF"/>
      </a:lt1>
      <a:dk2>
        <a:srgbClr val="0067B6"/>
      </a:dk2>
      <a:lt2>
        <a:srgbClr val="FFD1AF"/>
      </a:lt2>
      <a:accent1>
        <a:srgbClr val="53B5FF"/>
      </a:accent1>
      <a:accent2>
        <a:srgbClr val="F56A00"/>
      </a:accent2>
      <a:accent3>
        <a:srgbClr val="A5A5A5"/>
      </a:accent3>
      <a:accent4>
        <a:srgbClr val="FFC000"/>
      </a:accent4>
      <a:accent5>
        <a:srgbClr val="5B9BD5"/>
      </a:accent5>
      <a:accent6>
        <a:srgbClr val="70AD47"/>
      </a:accent6>
      <a:hlink>
        <a:srgbClr val="2E74B5"/>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C0C11-0B83-49A1-AF4E-C61C564E8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1665</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Ball</dc:creator>
  <cp:keywords/>
  <dc:description/>
  <cp:lastModifiedBy>Kathryn Collinson</cp:lastModifiedBy>
  <cp:revision>3</cp:revision>
  <cp:lastPrinted>2026-01-28T16:28:00Z</cp:lastPrinted>
  <dcterms:created xsi:type="dcterms:W3CDTF">2026-01-28T16:28:00Z</dcterms:created>
  <dcterms:modified xsi:type="dcterms:W3CDTF">2026-01-28T16:28:00Z</dcterms:modified>
</cp:coreProperties>
</file>